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A7C5" w14:textId="77777777" w:rsidR="00000BB2" w:rsidRPr="00EE3623" w:rsidRDefault="00000BB2" w:rsidP="00095FCC">
      <w:pPr>
        <w:pStyle w:val="Title"/>
        <w:spacing w:before="1200"/>
      </w:pPr>
      <w:r w:rsidRPr="00EE3623">
        <w:t>Past trends and potential futures – projecting Australian fertility</w:t>
      </w:r>
    </w:p>
    <w:p w14:paraId="3E3DDCDA" w14:textId="52A88F68" w:rsidR="00000BB2" w:rsidRPr="00EE3623" w:rsidRDefault="00000BB2" w:rsidP="00095FCC">
      <w:pPr>
        <w:pStyle w:val="CoverSubheading"/>
        <w:spacing w:before="720" w:after="4440"/>
        <w:rPr>
          <w:sz w:val="56"/>
          <w:szCs w:val="56"/>
        </w:rPr>
      </w:pPr>
      <w:r w:rsidRPr="00EE3623">
        <w:rPr>
          <w:sz w:val="56"/>
          <w:szCs w:val="56"/>
        </w:rPr>
        <w:t>SUPPLEMENTARY REPORT</w:t>
      </w:r>
    </w:p>
    <w:p w14:paraId="2975333E" w14:textId="77777777" w:rsidR="00000BB2" w:rsidRPr="00EE3623" w:rsidRDefault="006B409A" w:rsidP="00000BB2">
      <w:r>
        <w:pict w14:anchorId="1144F481">
          <v:rect id="_x0000_i1025" style="width:0;height:1.5pt" o:hralign="center" o:hrstd="t" o:hr="t" fillcolor="#a0a0a0" stroked="f"/>
        </w:pict>
      </w:r>
    </w:p>
    <w:p w14:paraId="103B8F6B" w14:textId="77777777" w:rsidR="00000BB2" w:rsidRPr="00BB64CC" w:rsidRDefault="00000BB2" w:rsidP="00000BB2">
      <w:pPr>
        <w:pStyle w:val="CoverDetails"/>
        <w:rPr>
          <w:b/>
          <w:bCs/>
        </w:rPr>
      </w:pPr>
      <w:r w:rsidRPr="00BB64CC">
        <w:rPr>
          <w:b/>
          <w:bCs/>
        </w:rPr>
        <w:t>A research report prepared for the Centre for Population, Australian Treasury.</w:t>
      </w:r>
    </w:p>
    <w:p w14:paraId="20FC78AE" w14:textId="25BAF1B2" w:rsidR="00000BB2" w:rsidRPr="00EE3623" w:rsidRDefault="00000BB2" w:rsidP="00BB64CC">
      <w:pPr>
        <w:pStyle w:val="CoverDetails"/>
        <w:spacing w:before="600"/>
      </w:pPr>
      <w:r w:rsidRPr="00EE3623">
        <w:t>Authors: Edith Gray, Anna Reimondos, James Raymer and Natalie</w:t>
      </w:r>
      <w:r w:rsidR="00587A72">
        <w:t> </w:t>
      </w:r>
      <w:r w:rsidRPr="00EE3623">
        <w:t xml:space="preserve">Nitsche </w:t>
      </w:r>
    </w:p>
    <w:p w14:paraId="10AE60CA" w14:textId="77777777" w:rsidR="00000BB2" w:rsidRPr="00EE3623" w:rsidRDefault="00000BB2" w:rsidP="00000BB2">
      <w:pPr>
        <w:pStyle w:val="CoverDetails"/>
      </w:pPr>
      <w:r w:rsidRPr="00EE3623">
        <w:t>School of Demography</w:t>
      </w:r>
    </w:p>
    <w:p w14:paraId="0CC3D3FE" w14:textId="77777777" w:rsidR="00000BB2" w:rsidRPr="00EE3623" w:rsidRDefault="00000BB2" w:rsidP="00000BB2">
      <w:pPr>
        <w:pStyle w:val="CoverDetails"/>
      </w:pPr>
      <w:r w:rsidRPr="00EE3623">
        <w:t>Research School of Social Sciences</w:t>
      </w:r>
    </w:p>
    <w:p w14:paraId="0AF75AB8" w14:textId="5987C22E" w:rsidR="00000BB2" w:rsidRPr="00EE3623" w:rsidRDefault="00000BB2" w:rsidP="00BB64CC">
      <w:pPr>
        <w:pStyle w:val="CoverDetails"/>
      </w:pPr>
      <w:r w:rsidRPr="00EE3623">
        <w:t>Australian National University</w:t>
      </w:r>
      <w:r w:rsidRPr="00EE3623">
        <w:br w:type="page"/>
      </w:r>
    </w:p>
    <w:p w14:paraId="70C80B3D" w14:textId="77777777" w:rsidR="008F59E4" w:rsidRPr="008F59E4" w:rsidRDefault="008F59E4" w:rsidP="008F59E4">
      <w:r w:rsidRPr="008F59E4">
        <w:lastRenderedPageBreak/>
        <w:t>© Australian National University 2026</w:t>
      </w:r>
    </w:p>
    <w:p w14:paraId="45641BA5" w14:textId="4E3FD27E" w:rsidR="008F59E4" w:rsidRPr="008F59E4" w:rsidRDefault="008F59E4" w:rsidP="008F59E4">
      <w:r w:rsidRPr="008F59E4">
        <w:t xml:space="preserve">ISBN: </w:t>
      </w:r>
      <w:r w:rsidR="00522CBC" w:rsidRPr="00522CBC">
        <w:t>978-1-923278-60-8</w:t>
      </w:r>
    </w:p>
    <w:p w14:paraId="2C8565C7" w14:textId="77777777" w:rsidR="008F59E4" w:rsidRPr="008F59E4" w:rsidRDefault="008F59E4" w:rsidP="008F59E4">
      <w:r w:rsidRPr="008F59E4">
        <w:t xml:space="preserve">This publication is available for your use under a </w:t>
      </w:r>
      <w:hyperlink r:id="rId7" w:history="1">
        <w:r w:rsidRPr="008F59E4">
          <w:rPr>
            <w:rStyle w:val="Hyperlink"/>
          </w:rPr>
          <w:t>Creative Commons Attribution 4.0 International</w:t>
        </w:r>
      </w:hyperlink>
      <w:r w:rsidRPr="008F59E4">
        <w:t xml:space="preserve"> licence, </w:t>
      </w:r>
      <w:proofErr w:type="gramStart"/>
      <w:r w:rsidRPr="008F59E4">
        <w:t>with the exception of</w:t>
      </w:r>
      <w:proofErr w:type="gramEnd"/>
      <w:r w:rsidRPr="008F59E4">
        <w:t xml:space="preserve"> photographs, images, third party materials, materials protected by a trademark, signatures and where otherwise stated. The full licence terms are available from </w:t>
      </w:r>
      <w:hyperlink r:id="rId8" w:history="1">
        <w:r w:rsidRPr="008F59E4">
          <w:rPr>
            <w:rStyle w:val="Hyperlink"/>
          </w:rPr>
          <w:t>https://creativecommons.org/licenses/by/4.0/legalcode</w:t>
        </w:r>
      </w:hyperlink>
      <w:r w:rsidRPr="008F59E4">
        <w:t xml:space="preserve">. </w:t>
      </w:r>
    </w:p>
    <w:p w14:paraId="149E5F28" w14:textId="4062C121" w:rsidR="008F59E4" w:rsidRPr="008F59E4" w:rsidRDefault="008F59E4" w:rsidP="008F59E4">
      <w:r w:rsidRPr="008F59E4">
        <w:t xml:space="preserve"> </w:t>
      </w:r>
      <w:r w:rsidRPr="008F59E4">
        <w:rPr>
          <w:noProof/>
        </w:rPr>
        <w:drawing>
          <wp:inline distT="0" distB="0" distL="0" distR="0" wp14:anchorId="494ED82D" wp14:editId="5C72EFB4">
            <wp:extent cx="809625" cy="285750"/>
            <wp:effectExtent l="0" t="0" r="9525" b="0"/>
            <wp:docPr id="872014720" name="Picture 3" descr="Creative Commons BY licenc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BY licence ico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a:noFill/>
                    </a:ln>
                  </pic:spPr>
                </pic:pic>
              </a:graphicData>
            </a:graphic>
          </wp:inline>
        </w:drawing>
      </w:r>
    </w:p>
    <w:p w14:paraId="1AB54F89" w14:textId="77777777" w:rsidR="008F59E4" w:rsidRPr="008F59E4" w:rsidRDefault="008F59E4" w:rsidP="008F59E4">
      <w:r w:rsidRPr="008F59E4">
        <w:t xml:space="preserve">Use of Australian National University material under a </w:t>
      </w:r>
      <w:hyperlink r:id="rId10" w:history="1">
        <w:r w:rsidRPr="008F59E4">
          <w:rPr>
            <w:rStyle w:val="Hyperlink"/>
          </w:rPr>
          <w:t>Creative Commons Attribution 4.0 International</w:t>
        </w:r>
      </w:hyperlink>
      <w:r w:rsidRPr="008F59E4">
        <w:t xml:space="preserve"> licence requires you to attribute the work (but not in any way that suggests that the Australian National University endorses you or your use of the work).</w:t>
      </w:r>
    </w:p>
    <w:p w14:paraId="38B8F19E" w14:textId="77777777" w:rsidR="008F59E4" w:rsidRPr="008F59E4" w:rsidRDefault="008F59E4" w:rsidP="008F59E4">
      <w:pPr>
        <w:rPr>
          <w:b/>
          <w:bCs/>
        </w:rPr>
      </w:pPr>
      <w:r w:rsidRPr="008F59E4">
        <w:rPr>
          <w:b/>
          <w:bCs/>
        </w:rPr>
        <w:t>Australian National University material used ‘as supplied’</w:t>
      </w:r>
    </w:p>
    <w:p w14:paraId="2A1A12BE" w14:textId="77777777" w:rsidR="008F59E4" w:rsidRPr="008F59E4" w:rsidRDefault="008F59E4" w:rsidP="008F59E4">
      <w:r w:rsidRPr="008F59E4">
        <w:t xml:space="preserve">Provided you have not modified or transformed Australian National University material in any way including, for example, by changing the Australian National University text; calculating percentage changes; graphing or charting data; or deriving new statistics from published Australian National University data – then the Australian National University prefers the following attribution: </w:t>
      </w:r>
    </w:p>
    <w:p w14:paraId="454DBC6B" w14:textId="14DEE4D4" w:rsidR="008F59E4" w:rsidRPr="008F59E4" w:rsidRDefault="008F59E4" w:rsidP="008F59E4">
      <w:pPr>
        <w:pStyle w:val="indent"/>
      </w:pPr>
      <w:r w:rsidRPr="008F59E4">
        <w:t>Source: Gray, E., Reimondos, A., Raymer, J. &amp; Nitsche, N.  Past trends and potential futures – projecting Australian fertility</w:t>
      </w:r>
      <w:r w:rsidR="00426EE5">
        <w:t>:</w:t>
      </w:r>
      <w:r>
        <w:t xml:space="preserve"> supplementary report</w:t>
      </w:r>
      <w:r w:rsidRPr="008F59E4">
        <w:t>, Australian National University.</w:t>
      </w:r>
    </w:p>
    <w:p w14:paraId="524233F4" w14:textId="77777777" w:rsidR="008F59E4" w:rsidRPr="008F59E4" w:rsidRDefault="008F59E4" w:rsidP="008F59E4">
      <w:pPr>
        <w:rPr>
          <w:b/>
          <w:bCs/>
        </w:rPr>
      </w:pPr>
      <w:r w:rsidRPr="008F59E4">
        <w:rPr>
          <w:b/>
          <w:bCs/>
        </w:rPr>
        <w:t>Derivative material</w:t>
      </w:r>
    </w:p>
    <w:p w14:paraId="50D004BC" w14:textId="77777777" w:rsidR="008F59E4" w:rsidRPr="008F59E4" w:rsidRDefault="008F59E4" w:rsidP="008F59E4">
      <w:r w:rsidRPr="008F59E4">
        <w:t xml:space="preserve">If you have modified or transformed Australian National University material, or derived new material from those of the Australian National University in any way, then the Australian National University prefers the following attribution: </w:t>
      </w:r>
    </w:p>
    <w:p w14:paraId="57528C1E" w14:textId="3013C631" w:rsidR="008F59E4" w:rsidRPr="008F59E4" w:rsidRDefault="008F59E4" w:rsidP="00702F47">
      <w:pPr>
        <w:pStyle w:val="indent"/>
      </w:pPr>
      <w:r w:rsidRPr="008F59E4">
        <w:t xml:space="preserve">Based on Australian National University </w:t>
      </w:r>
      <w:r>
        <w:t>analysis</w:t>
      </w:r>
      <w:r w:rsidRPr="008F59E4">
        <w:t>.</w:t>
      </w:r>
    </w:p>
    <w:p w14:paraId="1F4E4F95" w14:textId="77777777" w:rsidR="00702F47" w:rsidRDefault="00702F47" w:rsidP="00702F47">
      <w:pPr>
        <w:pStyle w:val="indent"/>
        <w:sectPr w:rsidR="00702F47" w:rsidSect="007D74BE">
          <w:headerReference w:type="first" r:id="rId11"/>
          <w:endnotePr>
            <w:numFmt w:val="decimal"/>
          </w:endnotePr>
          <w:pgSz w:w="11906" w:h="16838" w:code="9"/>
          <w:pgMar w:top="1134" w:right="1247" w:bottom="1134" w:left="1871" w:header="369" w:footer="284" w:gutter="0"/>
          <w:pgNumType w:start="1"/>
          <w:cols w:space="708"/>
          <w:titlePg/>
          <w:docGrid w:linePitch="360"/>
        </w:sectPr>
      </w:pPr>
    </w:p>
    <w:p w14:paraId="0CFB150B" w14:textId="0482F1E8" w:rsidR="00B82A68" w:rsidRPr="00702F47" w:rsidRDefault="00B82A68" w:rsidP="00702F47">
      <w:pPr>
        <w:pStyle w:val="TOCHeading"/>
        <w:spacing w:before="0"/>
      </w:pPr>
      <w:r w:rsidRPr="00702F47">
        <w:lastRenderedPageBreak/>
        <w:t>Contents</w:t>
      </w:r>
    </w:p>
    <w:bookmarkStart w:id="0" w:name="StartTOC"/>
    <w:bookmarkEnd w:id="0"/>
    <w:p w14:paraId="2F2720FB" w14:textId="5D1C9AA2" w:rsidR="00874CAC" w:rsidRPr="00587A72" w:rsidRDefault="00AC19CF" w:rsidP="00587A72">
      <w:pPr>
        <w:pStyle w:val="TOC1"/>
        <w:rPr>
          <w:noProof/>
        </w:rPr>
      </w:pPr>
      <w:r w:rsidRPr="00EE3623">
        <w:fldChar w:fldCharType="begin"/>
      </w:r>
      <w:r w:rsidRPr="00EE3623">
        <w:instrText xml:space="preserve"> TOC \o "1-1" \h \z \u </w:instrText>
      </w:r>
      <w:r w:rsidRPr="00EE3623">
        <w:fldChar w:fldCharType="separate"/>
      </w:r>
      <w:hyperlink w:anchor="_Toc238734059" w:history="1">
        <w:r w:rsidR="00874CAC" w:rsidRPr="00587A72">
          <w:rPr>
            <w:rStyle w:val="Hyperlink"/>
            <w:noProof/>
            <w:color w:val="auto"/>
            <w:u w:val="none"/>
          </w:rPr>
          <w:t>S1. Introduction</w:t>
        </w:r>
        <w:r w:rsidR="00874CAC" w:rsidRPr="00587A72">
          <w:rPr>
            <w:noProof/>
            <w:webHidden/>
          </w:rPr>
          <w:tab/>
        </w:r>
        <w:r w:rsidR="00874CAC" w:rsidRPr="00587A72">
          <w:rPr>
            <w:noProof/>
            <w:webHidden/>
          </w:rPr>
          <w:fldChar w:fldCharType="begin"/>
        </w:r>
        <w:r w:rsidR="00874CAC" w:rsidRPr="00587A72">
          <w:rPr>
            <w:noProof/>
            <w:webHidden/>
          </w:rPr>
          <w:instrText xml:space="preserve"> PAGEREF _Toc238734059 \h </w:instrText>
        </w:r>
        <w:r w:rsidR="00874CAC" w:rsidRPr="00587A72">
          <w:rPr>
            <w:noProof/>
            <w:webHidden/>
          </w:rPr>
        </w:r>
        <w:r w:rsidR="00874CAC" w:rsidRPr="00587A72">
          <w:rPr>
            <w:noProof/>
            <w:webHidden/>
          </w:rPr>
          <w:fldChar w:fldCharType="separate"/>
        </w:r>
        <w:r w:rsidR="00456341">
          <w:rPr>
            <w:noProof/>
            <w:webHidden/>
          </w:rPr>
          <w:t>1</w:t>
        </w:r>
        <w:r w:rsidR="00874CAC" w:rsidRPr="00587A72">
          <w:rPr>
            <w:noProof/>
            <w:webHidden/>
          </w:rPr>
          <w:fldChar w:fldCharType="end"/>
        </w:r>
      </w:hyperlink>
    </w:p>
    <w:p w14:paraId="0B291142" w14:textId="2DE83494" w:rsidR="00874CAC" w:rsidRDefault="00874CAC">
      <w:pPr>
        <w:pStyle w:val="TOC1"/>
        <w:rPr>
          <w:noProof/>
          <w:kern w:val="2"/>
          <w:sz w:val="24"/>
          <w:szCs w:val="24"/>
          <w:lang w:eastAsia="en-AU"/>
          <w14:ligatures w14:val="standardContextual"/>
        </w:rPr>
      </w:pPr>
      <w:hyperlink w:anchor="_Toc238734060" w:history="1">
        <w:r w:rsidRPr="00A91088">
          <w:rPr>
            <w:rStyle w:val="Hyperlink"/>
            <w:noProof/>
          </w:rPr>
          <w:t>S2. State/Territory and Greater Capital City Statistical Area</w:t>
        </w:r>
        <w:r>
          <w:rPr>
            <w:noProof/>
            <w:webHidden/>
          </w:rPr>
          <w:tab/>
        </w:r>
        <w:r>
          <w:rPr>
            <w:noProof/>
            <w:webHidden/>
          </w:rPr>
          <w:fldChar w:fldCharType="begin"/>
        </w:r>
        <w:r>
          <w:rPr>
            <w:noProof/>
            <w:webHidden/>
          </w:rPr>
          <w:instrText xml:space="preserve"> PAGEREF _Toc238734060 \h </w:instrText>
        </w:r>
        <w:r>
          <w:rPr>
            <w:noProof/>
            <w:webHidden/>
          </w:rPr>
        </w:r>
        <w:r>
          <w:rPr>
            <w:noProof/>
            <w:webHidden/>
          </w:rPr>
          <w:fldChar w:fldCharType="separate"/>
        </w:r>
        <w:r w:rsidR="00456341">
          <w:rPr>
            <w:noProof/>
            <w:webHidden/>
          </w:rPr>
          <w:t>2</w:t>
        </w:r>
        <w:r>
          <w:rPr>
            <w:noProof/>
            <w:webHidden/>
          </w:rPr>
          <w:fldChar w:fldCharType="end"/>
        </w:r>
      </w:hyperlink>
    </w:p>
    <w:p w14:paraId="4187BCCF" w14:textId="1C2F9499" w:rsidR="00874CAC" w:rsidRDefault="00874CAC">
      <w:pPr>
        <w:pStyle w:val="TOC1"/>
        <w:rPr>
          <w:noProof/>
          <w:kern w:val="2"/>
          <w:sz w:val="24"/>
          <w:szCs w:val="24"/>
          <w:lang w:eastAsia="en-AU"/>
          <w14:ligatures w14:val="standardContextual"/>
        </w:rPr>
      </w:pPr>
      <w:hyperlink w:anchor="_Toc238734061" w:history="1">
        <w:r w:rsidRPr="00A91088">
          <w:rPr>
            <w:rStyle w:val="Hyperlink"/>
            <w:noProof/>
          </w:rPr>
          <w:t>S3. Aboriginal and/or Torres Strait Islander fertility</w:t>
        </w:r>
        <w:r>
          <w:rPr>
            <w:noProof/>
            <w:webHidden/>
          </w:rPr>
          <w:tab/>
        </w:r>
        <w:r>
          <w:rPr>
            <w:noProof/>
            <w:webHidden/>
          </w:rPr>
          <w:fldChar w:fldCharType="begin"/>
        </w:r>
        <w:r>
          <w:rPr>
            <w:noProof/>
            <w:webHidden/>
          </w:rPr>
          <w:instrText xml:space="preserve"> PAGEREF _Toc238734061 \h </w:instrText>
        </w:r>
        <w:r>
          <w:rPr>
            <w:noProof/>
            <w:webHidden/>
          </w:rPr>
        </w:r>
        <w:r>
          <w:rPr>
            <w:noProof/>
            <w:webHidden/>
          </w:rPr>
          <w:fldChar w:fldCharType="separate"/>
        </w:r>
        <w:r w:rsidR="00456341">
          <w:rPr>
            <w:noProof/>
            <w:webHidden/>
          </w:rPr>
          <w:t>8</w:t>
        </w:r>
        <w:r>
          <w:rPr>
            <w:noProof/>
            <w:webHidden/>
          </w:rPr>
          <w:fldChar w:fldCharType="end"/>
        </w:r>
      </w:hyperlink>
    </w:p>
    <w:p w14:paraId="0F633502" w14:textId="614724E0" w:rsidR="00874CAC" w:rsidRDefault="00874CAC">
      <w:pPr>
        <w:pStyle w:val="TOC1"/>
        <w:rPr>
          <w:noProof/>
          <w:kern w:val="2"/>
          <w:sz w:val="24"/>
          <w:szCs w:val="24"/>
          <w:lang w:eastAsia="en-AU"/>
          <w14:ligatures w14:val="standardContextual"/>
        </w:rPr>
      </w:pPr>
      <w:hyperlink w:anchor="_Toc238734062" w:history="1">
        <w:r w:rsidRPr="00A91088">
          <w:rPr>
            <w:rStyle w:val="Hyperlink"/>
            <w:noProof/>
          </w:rPr>
          <w:t>S4. Country of birth fertility projections</w:t>
        </w:r>
        <w:r>
          <w:rPr>
            <w:noProof/>
            <w:webHidden/>
          </w:rPr>
          <w:tab/>
        </w:r>
        <w:r>
          <w:rPr>
            <w:noProof/>
            <w:webHidden/>
          </w:rPr>
          <w:fldChar w:fldCharType="begin"/>
        </w:r>
        <w:r>
          <w:rPr>
            <w:noProof/>
            <w:webHidden/>
          </w:rPr>
          <w:instrText xml:space="preserve"> PAGEREF _Toc238734062 \h </w:instrText>
        </w:r>
        <w:r>
          <w:rPr>
            <w:noProof/>
            <w:webHidden/>
          </w:rPr>
        </w:r>
        <w:r>
          <w:rPr>
            <w:noProof/>
            <w:webHidden/>
          </w:rPr>
          <w:fldChar w:fldCharType="separate"/>
        </w:r>
        <w:r w:rsidR="00456341">
          <w:rPr>
            <w:noProof/>
            <w:webHidden/>
          </w:rPr>
          <w:t>11</w:t>
        </w:r>
        <w:r>
          <w:rPr>
            <w:noProof/>
            <w:webHidden/>
          </w:rPr>
          <w:fldChar w:fldCharType="end"/>
        </w:r>
      </w:hyperlink>
    </w:p>
    <w:p w14:paraId="6BF53F1A" w14:textId="6A98EFD6" w:rsidR="00874CAC" w:rsidRDefault="00874CAC">
      <w:pPr>
        <w:pStyle w:val="TOC1"/>
        <w:rPr>
          <w:noProof/>
          <w:kern w:val="2"/>
          <w:sz w:val="24"/>
          <w:szCs w:val="24"/>
          <w:lang w:eastAsia="en-AU"/>
          <w14:ligatures w14:val="standardContextual"/>
        </w:rPr>
      </w:pPr>
      <w:hyperlink w:anchor="_Toc238734063" w:history="1">
        <w:r w:rsidRPr="00A91088">
          <w:rPr>
            <w:rStyle w:val="Hyperlink"/>
            <w:noProof/>
          </w:rPr>
          <w:t>References</w:t>
        </w:r>
        <w:r>
          <w:rPr>
            <w:noProof/>
            <w:webHidden/>
          </w:rPr>
          <w:tab/>
        </w:r>
        <w:r>
          <w:rPr>
            <w:noProof/>
            <w:webHidden/>
          </w:rPr>
          <w:fldChar w:fldCharType="begin"/>
        </w:r>
        <w:r>
          <w:rPr>
            <w:noProof/>
            <w:webHidden/>
          </w:rPr>
          <w:instrText xml:space="preserve"> PAGEREF _Toc238734063 \h </w:instrText>
        </w:r>
        <w:r>
          <w:rPr>
            <w:noProof/>
            <w:webHidden/>
          </w:rPr>
        </w:r>
        <w:r>
          <w:rPr>
            <w:noProof/>
            <w:webHidden/>
          </w:rPr>
          <w:fldChar w:fldCharType="separate"/>
        </w:r>
        <w:r w:rsidR="00456341">
          <w:rPr>
            <w:noProof/>
            <w:webHidden/>
          </w:rPr>
          <w:t>15</w:t>
        </w:r>
        <w:r>
          <w:rPr>
            <w:noProof/>
            <w:webHidden/>
          </w:rPr>
          <w:fldChar w:fldCharType="end"/>
        </w:r>
      </w:hyperlink>
    </w:p>
    <w:p w14:paraId="3A82BD2F" w14:textId="0B290D59" w:rsidR="00874CAC" w:rsidRDefault="00874CAC">
      <w:pPr>
        <w:pStyle w:val="TOC1"/>
        <w:rPr>
          <w:noProof/>
          <w:kern w:val="2"/>
          <w:sz w:val="24"/>
          <w:szCs w:val="24"/>
          <w:lang w:eastAsia="en-AU"/>
          <w14:ligatures w14:val="standardContextual"/>
        </w:rPr>
      </w:pPr>
      <w:hyperlink w:anchor="_Toc238734064" w:history="1">
        <w:r w:rsidRPr="00A91088">
          <w:rPr>
            <w:rStyle w:val="Hyperlink"/>
            <w:noProof/>
          </w:rPr>
          <w:t>Technical Appendix</w:t>
        </w:r>
        <w:r>
          <w:rPr>
            <w:noProof/>
            <w:webHidden/>
          </w:rPr>
          <w:tab/>
        </w:r>
        <w:r>
          <w:rPr>
            <w:noProof/>
            <w:webHidden/>
          </w:rPr>
          <w:fldChar w:fldCharType="begin"/>
        </w:r>
        <w:r>
          <w:rPr>
            <w:noProof/>
            <w:webHidden/>
          </w:rPr>
          <w:instrText xml:space="preserve"> PAGEREF _Toc238734064 \h </w:instrText>
        </w:r>
        <w:r>
          <w:rPr>
            <w:noProof/>
            <w:webHidden/>
          </w:rPr>
        </w:r>
        <w:r>
          <w:rPr>
            <w:noProof/>
            <w:webHidden/>
          </w:rPr>
          <w:fldChar w:fldCharType="separate"/>
        </w:r>
        <w:r w:rsidR="00456341">
          <w:rPr>
            <w:noProof/>
            <w:webHidden/>
          </w:rPr>
          <w:t>17</w:t>
        </w:r>
        <w:r>
          <w:rPr>
            <w:noProof/>
            <w:webHidden/>
          </w:rPr>
          <w:fldChar w:fldCharType="end"/>
        </w:r>
      </w:hyperlink>
    </w:p>
    <w:p w14:paraId="5C76D357" w14:textId="77777777" w:rsidR="00702F47" w:rsidRDefault="00AC19CF" w:rsidP="00B82A68">
      <w:r w:rsidRPr="00EE3623">
        <w:fldChar w:fldCharType="end"/>
      </w:r>
    </w:p>
    <w:p w14:paraId="29D60E61" w14:textId="77777777" w:rsidR="00702F47" w:rsidRDefault="00702F47" w:rsidP="00B82A68">
      <w:pPr>
        <w:sectPr w:rsidR="00702F47" w:rsidSect="007D74BE">
          <w:headerReference w:type="first" r:id="rId12"/>
          <w:footerReference w:type="first" r:id="rId13"/>
          <w:endnotePr>
            <w:numFmt w:val="decimal"/>
          </w:endnotePr>
          <w:pgSz w:w="11906" w:h="16838" w:code="9"/>
          <w:pgMar w:top="1134" w:right="1247" w:bottom="1134" w:left="1871" w:header="369" w:footer="284" w:gutter="0"/>
          <w:pgNumType w:start="1"/>
          <w:cols w:space="708"/>
          <w:titlePg/>
          <w:docGrid w:linePitch="360"/>
        </w:sectPr>
      </w:pPr>
    </w:p>
    <w:p w14:paraId="70206F0F" w14:textId="2729AC97" w:rsidR="007D17FF" w:rsidRPr="00B1119B" w:rsidRDefault="00283666" w:rsidP="00B1119B">
      <w:pPr>
        <w:pStyle w:val="Heading1"/>
      </w:pPr>
      <w:bookmarkStart w:id="1" w:name="_Toc238734059"/>
      <w:r w:rsidRPr="00B1119B">
        <w:lastRenderedPageBreak/>
        <w:t xml:space="preserve">S1. </w:t>
      </w:r>
      <w:r w:rsidR="007D17FF" w:rsidRPr="00B1119B">
        <w:t>Introduction</w:t>
      </w:r>
      <w:bookmarkEnd w:id="1"/>
    </w:p>
    <w:p w14:paraId="7A823568" w14:textId="18088BD6" w:rsidR="00BD311C" w:rsidRPr="00EE3623" w:rsidRDefault="007D17FF" w:rsidP="007D17FF">
      <w:pPr>
        <w:rPr>
          <w:lang w:eastAsia="en-AU"/>
        </w:rPr>
      </w:pPr>
      <w:r w:rsidRPr="00EE3623">
        <w:rPr>
          <w:lang w:eastAsia="en-AU"/>
        </w:rPr>
        <w:t xml:space="preserve">This supplementary report complements the </w:t>
      </w:r>
      <w:r w:rsidR="00FD0130" w:rsidRPr="00EE3623">
        <w:rPr>
          <w:lang w:eastAsia="en-AU"/>
        </w:rPr>
        <w:t>fertility projections provided in the main repo</w:t>
      </w:r>
      <w:r w:rsidR="00DB2052" w:rsidRPr="00EE3623">
        <w:rPr>
          <w:lang w:eastAsia="en-AU"/>
        </w:rPr>
        <w:t xml:space="preserve">rt. In the main report the fertility projections </w:t>
      </w:r>
      <w:r w:rsidR="00116F12" w:rsidRPr="00EE3623">
        <w:rPr>
          <w:lang w:eastAsia="en-AU"/>
        </w:rPr>
        <w:t>are at</w:t>
      </w:r>
      <w:r w:rsidR="00D57358" w:rsidRPr="00EE3623">
        <w:rPr>
          <w:lang w:eastAsia="en-AU"/>
        </w:rPr>
        <w:t xml:space="preserve"> the national level. However, </w:t>
      </w:r>
      <w:r w:rsidR="00BD311C" w:rsidRPr="00EE3623">
        <w:rPr>
          <w:lang w:eastAsia="en-AU"/>
        </w:rPr>
        <w:t>the national population can</w:t>
      </w:r>
      <w:r w:rsidR="001168A4" w:rsidRPr="00EE3623">
        <w:rPr>
          <w:lang w:eastAsia="en-AU"/>
        </w:rPr>
        <w:t xml:space="preserve"> </w:t>
      </w:r>
      <w:r w:rsidR="00BD311C" w:rsidRPr="00EE3623">
        <w:rPr>
          <w:lang w:eastAsia="en-AU"/>
        </w:rPr>
        <w:t xml:space="preserve">be disaggregated into groups based </w:t>
      </w:r>
      <w:r w:rsidR="001168A4" w:rsidRPr="00EE3623">
        <w:rPr>
          <w:lang w:eastAsia="en-AU"/>
        </w:rPr>
        <w:t>on different levels</w:t>
      </w:r>
      <w:r w:rsidR="0018638E" w:rsidRPr="00EE3623">
        <w:rPr>
          <w:lang w:eastAsia="en-AU"/>
        </w:rPr>
        <w:t>, such as the</w:t>
      </w:r>
      <w:r w:rsidR="001168A4" w:rsidRPr="00EE3623">
        <w:rPr>
          <w:lang w:eastAsia="en-AU"/>
        </w:rPr>
        <w:t xml:space="preserve"> geographic</w:t>
      </w:r>
      <w:r w:rsidR="0018638E" w:rsidRPr="00EE3623">
        <w:rPr>
          <w:lang w:eastAsia="en-AU"/>
        </w:rPr>
        <w:t>al</w:t>
      </w:r>
      <w:r w:rsidR="001168A4" w:rsidRPr="00EE3623">
        <w:rPr>
          <w:lang w:eastAsia="en-AU"/>
        </w:rPr>
        <w:t xml:space="preserve"> location </w:t>
      </w:r>
      <w:r w:rsidR="0018638E" w:rsidRPr="00EE3623">
        <w:rPr>
          <w:lang w:eastAsia="en-AU"/>
        </w:rPr>
        <w:t xml:space="preserve">of </w:t>
      </w:r>
      <w:r w:rsidR="001168A4" w:rsidRPr="00EE3623">
        <w:rPr>
          <w:lang w:eastAsia="en-AU"/>
        </w:rPr>
        <w:t>where people live</w:t>
      </w:r>
      <w:r w:rsidR="0018638E" w:rsidRPr="00EE3623">
        <w:rPr>
          <w:lang w:eastAsia="en-AU"/>
        </w:rPr>
        <w:t>,</w:t>
      </w:r>
      <w:r w:rsidR="001168A4" w:rsidRPr="00EE3623">
        <w:rPr>
          <w:lang w:eastAsia="en-AU"/>
        </w:rPr>
        <w:t xml:space="preserve"> or </w:t>
      </w:r>
      <w:r w:rsidR="00334DE5" w:rsidRPr="00EE3623">
        <w:rPr>
          <w:lang w:eastAsia="en-AU"/>
        </w:rPr>
        <w:t>s</w:t>
      </w:r>
      <w:r w:rsidR="001168A4" w:rsidRPr="00EE3623">
        <w:rPr>
          <w:lang w:eastAsia="en-AU"/>
        </w:rPr>
        <w:t>pecific socio-demographic factors</w:t>
      </w:r>
      <w:r w:rsidR="00334DE5" w:rsidRPr="00EE3623">
        <w:rPr>
          <w:lang w:eastAsia="en-AU"/>
        </w:rPr>
        <w:t xml:space="preserve">. </w:t>
      </w:r>
    </w:p>
    <w:p w14:paraId="7730768D" w14:textId="13AF844A" w:rsidR="00525BCA" w:rsidRPr="00EE3623" w:rsidRDefault="00525BCA" w:rsidP="007D17FF">
      <w:pPr>
        <w:rPr>
          <w:lang w:eastAsia="en-AU"/>
        </w:rPr>
      </w:pPr>
      <w:r w:rsidRPr="00EE3623">
        <w:rPr>
          <w:lang w:eastAsia="en-AU"/>
        </w:rPr>
        <w:t xml:space="preserve">In this supplementary report we focus on four key </w:t>
      </w:r>
      <w:proofErr w:type="spellStart"/>
      <w:r w:rsidR="00EC5105" w:rsidRPr="00EE3623">
        <w:rPr>
          <w:lang w:eastAsia="en-AU"/>
        </w:rPr>
        <w:t>disaggregations</w:t>
      </w:r>
      <w:proofErr w:type="spellEnd"/>
      <w:r w:rsidRPr="00EE3623">
        <w:rPr>
          <w:lang w:eastAsia="en-AU"/>
        </w:rPr>
        <w:t xml:space="preserve">: </w:t>
      </w:r>
    </w:p>
    <w:p w14:paraId="79D9E5D2" w14:textId="77777777" w:rsidR="00525BCA" w:rsidRPr="00EE3623" w:rsidRDefault="00525BCA" w:rsidP="00482898">
      <w:pPr>
        <w:pStyle w:val="ListBullet"/>
        <w:rPr>
          <w:lang w:eastAsia="en-AU"/>
        </w:rPr>
      </w:pPr>
      <w:r w:rsidRPr="00EE3623">
        <w:rPr>
          <w:lang w:eastAsia="en-AU"/>
        </w:rPr>
        <w:t>States and Territories</w:t>
      </w:r>
    </w:p>
    <w:p w14:paraId="051A4ECC" w14:textId="77777777" w:rsidR="00525BCA" w:rsidRPr="00EE3623" w:rsidRDefault="00525BCA" w:rsidP="00482898">
      <w:pPr>
        <w:pStyle w:val="ListBullet"/>
        <w:rPr>
          <w:lang w:eastAsia="en-AU"/>
        </w:rPr>
      </w:pPr>
      <w:r w:rsidRPr="00EE3623">
        <w:rPr>
          <w:lang w:eastAsia="en-AU"/>
        </w:rPr>
        <w:t>Greater Capital City Statistical Areas</w:t>
      </w:r>
    </w:p>
    <w:p w14:paraId="3C95D5A5" w14:textId="3CBDCB0C" w:rsidR="00525BCA" w:rsidRPr="00EE3623" w:rsidRDefault="00525BCA" w:rsidP="00482898">
      <w:pPr>
        <w:pStyle w:val="ListBullet"/>
        <w:rPr>
          <w:lang w:eastAsia="en-AU"/>
        </w:rPr>
      </w:pPr>
      <w:r w:rsidRPr="00EE3623">
        <w:rPr>
          <w:lang w:eastAsia="en-AU"/>
        </w:rPr>
        <w:t xml:space="preserve">Aboriginal </w:t>
      </w:r>
      <w:r w:rsidR="00F51DC1" w:rsidRPr="00EE3623">
        <w:rPr>
          <w:lang w:eastAsia="en-AU"/>
        </w:rPr>
        <w:t>and/or Torres</w:t>
      </w:r>
      <w:r w:rsidRPr="00EE3623">
        <w:rPr>
          <w:lang w:eastAsia="en-AU"/>
        </w:rPr>
        <w:t xml:space="preserve"> Strait Islander status</w:t>
      </w:r>
    </w:p>
    <w:p w14:paraId="6DA7235A" w14:textId="03839DC5" w:rsidR="002C19E4" w:rsidRPr="00EE3623" w:rsidRDefault="00525BCA" w:rsidP="00482898">
      <w:pPr>
        <w:pStyle w:val="ListBullet"/>
        <w:rPr>
          <w:lang w:eastAsia="en-AU"/>
        </w:rPr>
      </w:pPr>
      <w:r w:rsidRPr="00EE3623">
        <w:rPr>
          <w:lang w:eastAsia="en-AU"/>
        </w:rPr>
        <w:t xml:space="preserve">Selected overseas-born populations. </w:t>
      </w:r>
    </w:p>
    <w:p w14:paraId="34094DA4" w14:textId="799085E0" w:rsidR="00DB2052" w:rsidRPr="00EE3623" w:rsidRDefault="00D250E1" w:rsidP="002C19E4">
      <w:pPr>
        <w:rPr>
          <w:lang w:eastAsia="en-AU"/>
        </w:rPr>
      </w:pPr>
      <w:r w:rsidRPr="00EE3623">
        <w:rPr>
          <w:lang w:eastAsia="en-AU"/>
        </w:rPr>
        <w:t>U</w:t>
      </w:r>
      <w:r w:rsidR="00630420" w:rsidRPr="00EE3623">
        <w:rPr>
          <w:lang w:eastAsia="en-AU"/>
        </w:rPr>
        <w:t xml:space="preserve">nderstanding the past trends and possible future trajectories of </w:t>
      </w:r>
      <w:r w:rsidR="00533A2B" w:rsidRPr="00EE3623">
        <w:rPr>
          <w:lang w:eastAsia="en-AU"/>
        </w:rPr>
        <w:t>specific subgroups of the population is useful for giving context to the national projections</w:t>
      </w:r>
      <w:r w:rsidR="00851428" w:rsidRPr="00EE3623">
        <w:rPr>
          <w:lang w:eastAsia="en-AU"/>
        </w:rPr>
        <w:t xml:space="preserve"> and understanding the drivers of fertility change. If two groups of people have </w:t>
      </w:r>
      <w:r w:rsidR="00AC51F0" w:rsidRPr="00EE3623">
        <w:rPr>
          <w:lang w:eastAsia="en-AU"/>
        </w:rPr>
        <w:t xml:space="preserve">vastly different rates of fertility, </w:t>
      </w:r>
      <w:r w:rsidR="00B35DD9" w:rsidRPr="00EE3623">
        <w:rPr>
          <w:lang w:eastAsia="en-AU"/>
        </w:rPr>
        <w:t>isolating</w:t>
      </w:r>
      <w:r w:rsidR="00AC51F0" w:rsidRPr="00EE3623">
        <w:rPr>
          <w:lang w:eastAsia="en-AU"/>
        </w:rPr>
        <w:t xml:space="preserve"> why and how their childbearing behaviour </w:t>
      </w:r>
      <w:r w:rsidR="00B35DD9" w:rsidRPr="00EE3623">
        <w:rPr>
          <w:lang w:eastAsia="en-AU"/>
        </w:rPr>
        <w:t xml:space="preserve">differs can help us </w:t>
      </w:r>
      <w:r w:rsidR="001731DF" w:rsidRPr="00EE3623">
        <w:rPr>
          <w:lang w:eastAsia="en-AU"/>
        </w:rPr>
        <w:t xml:space="preserve">to </w:t>
      </w:r>
      <w:r w:rsidR="00B35DD9" w:rsidRPr="00EE3623">
        <w:rPr>
          <w:lang w:eastAsia="en-AU"/>
        </w:rPr>
        <w:t xml:space="preserve">understand the factors that shape </w:t>
      </w:r>
      <w:r w:rsidR="0088219E" w:rsidRPr="00EE3623">
        <w:rPr>
          <w:lang w:eastAsia="en-AU"/>
        </w:rPr>
        <w:t xml:space="preserve">fertility behaviour. Fertility rate differentials </w:t>
      </w:r>
      <w:r w:rsidR="00C2455F" w:rsidRPr="00EE3623">
        <w:rPr>
          <w:lang w:eastAsia="en-AU"/>
        </w:rPr>
        <w:t xml:space="preserve">can also be </w:t>
      </w:r>
      <w:r w:rsidR="00282A29" w:rsidRPr="00EE3623">
        <w:rPr>
          <w:lang w:eastAsia="en-AU"/>
        </w:rPr>
        <w:t xml:space="preserve">important </w:t>
      </w:r>
      <w:r w:rsidR="001731DF" w:rsidRPr="00EE3623">
        <w:rPr>
          <w:lang w:eastAsia="en-AU"/>
        </w:rPr>
        <w:t>for</w:t>
      </w:r>
      <w:r w:rsidR="00C2455F" w:rsidRPr="00EE3623">
        <w:rPr>
          <w:lang w:eastAsia="en-AU"/>
        </w:rPr>
        <w:t xml:space="preserve"> po</w:t>
      </w:r>
      <w:r w:rsidR="00533A2B" w:rsidRPr="00EE3623">
        <w:rPr>
          <w:lang w:eastAsia="en-AU"/>
        </w:rPr>
        <w:t>licy or planning purposes</w:t>
      </w:r>
      <w:r w:rsidR="00E47236" w:rsidRPr="00EE3623">
        <w:rPr>
          <w:lang w:eastAsia="en-AU"/>
        </w:rPr>
        <w:t xml:space="preserve"> to ensure services </w:t>
      </w:r>
      <w:r w:rsidR="00E41CDF" w:rsidRPr="00EE3623">
        <w:rPr>
          <w:lang w:eastAsia="en-AU"/>
        </w:rPr>
        <w:t xml:space="preserve">to support parents and children </w:t>
      </w:r>
      <w:r w:rsidR="00E47236" w:rsidRPr="00EE3623">
        <w:rPr>
          <w:lang w:eastAsia="en-AU"/>
        </w:rPr>
        <w:t>are available</w:t>
      </w:r>
      <w:r w:rsidR="00E41CDF" w:rsidRPr="00EE3623">
        <w:rPr>
          <w:lang w:eastAsia="en-AU"/>
        </w:rPr>
        <w:t>,</w:t>
      </w:r>
      <w:r w:rsidR="00E47236" w:rsidRPr="00EE3623">
        <w:rPr>
          <w:lang w:eastAsia="en-AU"/>
        </w:rPr>
        <w:t xml:space="preserve"> whether this is by geography or </w:t>
      </w:r>
      <w:r w:rsidR="00AE2209" w:rsidRPr="00EE3623">
        <w:rPr>
          <w:lang w:eastAsia="en-AU"/>
        </w:rPr>
        <w:t xml:space="preserve">another </w:t>
      </w:r>
      <w:r w:rsidR="004048BE" w:rsidRPr="00EE3623">
        <w:rPr>
          <w:lang w:eastAsia="en-AU"/>
        </w:rPr>
        <w:t xml:space="preserve">socio-demographic characteristic. </w:t>
      </w:r>
    </w:p>
    <w:p w14:paraId="7DDA48B6" w14:textId="570EE2F9" w:rsidR="007D17FF" w:rsidRPr="00EE3623" w:rsidRDefault="007D17FF" w:rsidP="007D17FF">
      <w:pPr>
        <w:rPr>
          <w:lang w:eastAsia="en-AU"/>
        </w:rPr>
      </w:pPr>
      <w:r w:rsidRPr="00EE3623">
        <w:rPr>
          <w:lang w:eastAsia="en-AU"/>
        </w:rPr>
        <w:t xml:space="preserve">It is important to note, however, that the contribution of any subgroup to the national total fertility rate (TFR) depends on two key components: </w:t>
      </w:r>
      <w:r w:rsidR="002074B1" w:rsidRPr="00EE3623">
        <w:rPr>
          <w:lang w:eastAsia="en-AU"/>
        </w:rPr>
        <w:t xml:space="preserve">1) </w:t>
      </w:r>
      <w:r w:rsidRPr="00EE3623">
        <w:rPr>
          <w:lang w:eastAsia="en-AU"/>
        </w:rPr>
        <w:t xml:space="preserve">the fertility rate of the subgroup itself, and </w:t>
      </w:r>
      <w:r w:rsidR="002074B1" w:rsidRPr="00EE3623">
        <w:rPr>
          <w:lang w:eastAsia="en-AU"/>
        </w:rPr>
        <w:t xml:space="preserve">2) </w:t>
      </w:r>
      <w:r w:rsidRPr="00EE3623">
        <w:rPr>
          <w:lang w:eastAsia="en-AU"/>
        </w:rPr>
        <w:t>the size of that subgroup within the national population of women of reproductive age. At the national level, the TFR can be understood as a weighted average of age-specific fertility rates (ASFRs) across all population subgroups, where the weights are determined by each subgroup's share of the population at each age. As a result, subgroups with higher fertility rates and larger shares of the population will contribute more to the overall national TFR. Conversely, subgroups with lower fertility or smaller population shares will contribute less.</w:t>
      </w:r>
    </w:p>
    <w:p w14:paraId="3A24743D" w14:textId="4092338B" w:rsidR="007072BB" w:rsidRPr="00EE3623" w:rsidRDefault="007D17FF" w:rsidP="007D17FF">
      <w:pPr>
        <w:rPr>
          <w:lang w:eastAsia="en-AU"/>
        </w:rPr>
      </w:pPr>
      <w:r w:rsidRPr="00EE3623">
        <w:rPr>
          <w:lang w:eastAsia="en-AU"/>
        </w:rPr>
        <w:t xml:space="preserve">This report focuses solely on the </w:t>
      </w:r>
      <w:r w:rsidR="002074B1" w:rsidRPr="00EE3623">
        <w:rPr>
          <w:lang w:eastAsia="en-AU"/>
        </w:rPr>
        <w:t xml:space="preserve">first component, the </w:t>
      </w:r>
      <w:r w:rsidRPr="00EE3623">
        <w:rPr>
          <w:lang w:eastAsia="en-AU"/>
        </w:rPr>
        <w:t xml:space="preserve">projected fertility </w:t>
      </w:r>
      <w:r w:rsidR="002074B1" w:rsidRPr="00EE3623">
        <w:rPr>
          <w:lang w:eastAsia="en-AU"/>
        </w:rPr>
        <w:t xml:space="preserve">rate </w:t>
      </w:r>
      <w:r w:rsidRPr="00EE3623">
        <w:rPr>
          <w:lang w:eastAsia="en-AU"/>
        </w:rPr>
        <w:t>differentials across subgroups. It does not attempt to estimate each subgroup’s future contribution to the national TFR, as this would require assumptions not only about fertility trends but also about the future population distribution across subgroups</w:t>
      </w:r>
      <w:r w:rsidR="00986CDD">
        <w:rPr>
          <w:lang w:eastAsia="en-AU"/>
        </w:rPr>
        <w:t xml:space="preserve"> – </w:t>
      </w:r>
      <w:r w:rsidRPr="00EE3623">
        <w:rPr>
          <w:lang w:eastAsia="en-AU"/>
        </w:rPr>
        <w:t>information that is beyond the scope of this analysis. For example, changes in migration</w:t>
      </w:r>
      <w:r w:rsidR="007248D2" w:rsidRPr="00EE3623">
        <w:rPr>
          <w:lang w:eastAsia="en-AU"/>
        </w:rPr>
        <w:t xml:space="preserve"> or</w:t>
      </w:r>
      <w:r w:rsidRPr="00EE3623">
        <w:rPr>
          <w:lang w:eastAsia="en-AU"/>
        </w:rPr>
        <w:t xml:space="preserve"> regional population growth, could all substantially alter the relative population shares of different groups in the future. </w:t>
      </w:r>
      <w:r w:rsidR="00C2660D" w:rsidRPr="00EE3623">
        <w:rPr>
          <w:lang w:eastAsia="en-AU"/>
        </w:rPr>
        <w:t>Therefore, while projected fertility differentials are useful for understanding trends and disparities within groups, it's important to remember that a subgroup’s share of the population</w:t>
      </w:r>
      <w:r w:rsidR="00986CDD">
        <w:rPr>
          <w:lang w:eastAsia="en-AU"/>
        </w:rPr>
        <w:t xml:space="preserve"> – </w:t>
      </w:r>
      <w:r w:rsidR="00C2660D" w:rsidRPr="00EE3623">
        <w:rPr>
          <w:lang w:eastAsia="en-AU"/>
        </w:rPr>
        <w:t>both now and in the future</w:t>
      </w:r>
      <w:r w:rsidR="00986CDD">
        <w:rPr>
          <w:lang w:eastAsia="en-AU"/>
        </w:rPr>
        <w:t xml:space="preserve"> – </w:t>
      </w:r>
      <w:r w:rsidR="00C2660D" w:rsidRPr="00EE3623">
        <w:rPr>
          <w:lang w:eastAsia="en-AU"/>
        </w:rPr>
        <w:t>can significantly influence how much that group’s fertility contributes to the national fertility rate, ranging from minimal to substantial.</w:t>
      </w:r>
    </w:p>
    <w:p w14:paraId="3F26292F" w14:textId="77777777" w:rsidR="007072BB" w:rsidRPr="00EE3623" w:rsidRDefault="007072BB">
      <w:pPr>
        <w:rPr>
          <w:lang w:eastAsia="en-AU"/>
        </w:rPr>
      </w:pPr>
      <w:r w:rsidRPr="00EE3623">
        <w:rPr>
          <w:lang w:eastAsia="en-AU"/>
        </w:rPr>
        <w:br w:type="page"/>
      </w:r>
    </w:p>
    <w:p w14:paraId="4F31021C" w14:textId="0AB2651B" w:rsidR="00AA6FB6" w:rsidRPr="00870E04" w:rsidRDefault="00794B8E" w:rsidP="00B1119B">
      <w:pPr>
        <w:pStyle w:val="Heading1"/>
      </w:pPr>
      <w:bookmarkStart w:id="2" w:name="Start"/>
      <w:bookmarkStart w:id="3" w:name="_Toc238734060"/>
      <w:bookmarkStart w:id="4" w:name="_Toc193270423"/>
      <w:bookmarkEnd w:id="2"/>
      <w:r w:rsidRPr="00870E04">
        <w:lastRenderedPageBreak/>
        <w:t>S</w:t>
      </w:r>
      <w:r w:rsidR="00283666" w:rsidRPr="00870E04">
        <w:t>2.</w:t>
      </w:r>
      <w:r w:rsidR="00870E04">
        <w:t> </w:t>
      </w:r>
      <w:r w:rsidR="004836BF" w:rsidRPr="00870E04">
        <w:t>State/</w:t>
      </w:r>
      <w:r w:rsidR="00F35F4A" w:rsidRPr="00870E04">
        <w:t>Territory and</w:t>
      </w:r>
      <w:r w:rsidR="004059A6" w:rsidRPr="00870E04">
        <w:t xml:space="preserve"> Greater Capital City Statistical Area</w:t>
      </w:r>
      <w:bookmarkEnd w:id="3"/>
    </w:p>
    <w:p w14:paraId="19E8D1C0" w14:textId="48BC2F30" w:rsidR="004836BF" w:rsidRPr="00EE3623" w:rsidRDefault="004836BF" w:rsidP="004836BF">
      <w:r w:rsidRPr="00EE3623">
        <w:t xml:space="preserve">Fertility rates vary across geographic areas, including administrative boundaries such as states and territories. Several factors could contribute to these differences, including compositional differences, selection effects and contextual effects. Compositional differences arise because different states or areas have diverse populations, with varying characteristics (such as age, socioeconomic status, and cultural backgrounds) that may influence fertility rates. There may also be selection effects whereby some areas attract individuals specifically interested in having (or growing) their family because they are perceived as family-friendly or offering a good environment to raise children. This is less likely to be observed at the state </w:t>
      </w:r>
      <w:proofErr w:type="gramStart"/>
      <w:r w:rsidRPr="00EE3623">
        <w:t>level,</w:t>
      </w:r>
      <w:proofErr w:type="gramEnd"/>
      <w:r w:rsidRPr="00EE3623">
        <w:t xml:space="preserve"> however, they are noticeable at lower levels of geography (Evans and Gray 2018; Gray and Evans 2018). Certain features of a location, such as a strong labour market, favourable climate</w:t>
      </w:r>
      <w:r w:rsidR="005508EC" w:rsidRPr="00EE3623">
        <w:t>,</w:t>
      </w:r>
      <w:r w:rsidRPr="00EE3623">
        <w:t xml:space="preserve"> or higher quality of life</w:t>
      </w:r>
      <w:r w:rsidR="005508EC" w:rsidRPr="00EE3623">
        <w:t>,</w:t>
      </w:r>
      <w:r w:rsidRPr="00EE3623">
        <w:t xml:space="preserve"> may also have direct or indirect effects on the fertility levels of the people living there. </w:t>
      </w:r>
    </w:p>
    <w:p w14:paraId="13C383AD" w14:textId="330D4B5B" w:rsidR="004836BF" w:rsidRPr="00EE3623" w:rsidRDefault="004836BF" w:rsidP="004836BF">
      <w:r w:rsidRPr="00EE3623">
        <w:t xml:space="preserve">Given the variability in fertility levels by geographical location, the future of the national fertility rate will ultimately depend on the fertility rates that occur across different geographic areas. </w:t>
      </w:r>
      <w:r w:rsidR="0088730D" w:rsidRPr="00EE3623">
        <w:t>This section reports on a series of sub-national projections produced to complement the national predictions. Separate projections were created for two subnational geographical levels:</w:t>
      </w:r>
    </w:p>
    <w:p w14:paraId="4E9F3DEB" w14:textId="4E6F890D" w:rsidR="004836BF" w:rsidRPr="00EE3623" w:rsidRDefault="004836BF" w:rsidP="00482898">
      <w:pPr>
        <w:pStyle w:val="ListNumber0"/>
      </w:pPr>
      <w:r w:rsidRPr="00EE3623">
        <w:t>State and Territory</w:t>
      </w:r>
    </w:p>
    <w:p w14:paraId="4E173171" w14:textId="77777777" w:rsidR="004836BF" w:rsidRPr="00EE3623" w:rsidRDefault="004836BF" w:rsidP="00482898">
      <w:pPr>
        <w:pStyle w:val="ListNumber0"/>
      </w:pPr>
      <w:r w:rsidRPr="00EE3623">
        <w:t>Greater Capital City Statistical Area (GCCSA)</w:t>
      </w:r>
    </w:p>
    <w:p w14:paraId="6AD0AA6B" w14:textId="72ED6A0B" w:rsidR="004836BF" w:rsidRPr="00EE3623" w:rsidRDefault="004836BF" w:rsidP="00A526B6">
      <w:r w:rsidRPr="00EE3623">
        <w:t xml:space="preserve">To ensure consistency across geographical levels, the sub-national projections were reconciled with the national projections. Specifically, fertility rates for each GCCSA were adjusted to align with the overall state projections, and the state projections were, in turn, adjusted to sum to the national projection. This reconciliation was conducted using Estimated Resident Populations (ERPs) from the Australian Bureau of Statistics (ABS) to maintain accuracy and coherence across levels. </w:t>
      </w:r>
      <w:r w:rsidR="003510EC" w:rsidRPr="00EE3623">
        <w:t xml:space="preserve">Further detail on the reconciliation of the data to the national level </w:t>
      </w:r>
      <w:r w:rsidR="005F6DE2" w:rsidRPr="00EE3623">
        <w:t>is available in th</w:t>
      </w:r>
      <w:r w:rsidR="00E159D7" w:rsidRPr="00EE3623">
        <w:t>e</w:t>
      </w:r>
      <w:r w:rsidR="005F6DE2" w:rsidRPr="00EE3623">
        <w:t xml:space="preserve"> Technical Appendix</w:t>
      </w:r>
      <w:r w:rsidR="00E159D7" w:rsidRPr="00EE3623">
        <w:t xml:space="preserve"> of this supplementary report</w:t>
      </w:r>
      <w:r w:rsidR="005F6DE2" w:rsidRPr="00EE3623">
        <w:t>.</w:t>
      </w:r>
    </w:p>
    <w:p w14:paraId="19274DCA" w14:textId="6A0A5AF7" w:rsidR="00640E5E" w:rsidRPr="00EE3623" w:rsidRDefault="00640E5E" w:rsidP="00B1119B">
      <w:pPr>
        <w:pStyle w:val="Heading2"/>
      </w:pPr>
      <w:bookmarkStart w:id="5" w:name="_Toc194589035"/>
      <w:r w:rsidRPr="00EE3623">
        <w:t>States and Territories</w:t>
      </w:r>
    </w:p>
    <w:bookmarkEnd w:id="5"/>
    <w:p w14:paraId="2F4EC38C" w14:textId="48B10175" w:rsidR="00D831B1" w:rsidRPr="00EE3623" w:rsidRDefault="00075F07" w:rsidP="00D831B1">
      <w:r w:rsidRPr="00EE3623">
        <w:t xml:space="preserve">Over the past </w:t>
      </w:r>
      <w:r w:rsidR="00D831B1" w:rsidRPr="00EE3623">
        <w:t>four decades,</w:t>
      </w:r>
      <w:r w:rsidRPr="00EE3623">
        <w:t xml:space="preserve"> </w:t>
      </w:r>
      <w:r w:rsidR="00547B42" w:rsidRPr="00EE3623">
        <w:t>the difference between each State or Territory</w:t>
      </w:r>
      <w:r w:rsidR="003C4792" w:rsidRPr="00EE3623">
        <w:t xml:space="preserve">’s fertility rates has remained relatively stable, but they have varied in terms of their population growth. </w:t>
      </w:r>
      <w:r w:rsidR="00926B8D" w:rsidRPr="00EE3623">
        <w:t>As such it has primarily been their share of the national population that has driven any changes in their contribution to the national TFR</w:t>
      </w:r>
      <w:r w:rsidR="00A834A7" w:rsidRPr="00EE3623">
        <w:t>. For example</w:t>
      </w:r>
      <w:r w:rsidR="00A30AD5" w:rsidRPr="00EE3623">
        <w:t>,</w:t>
      </w:r>
      <w:r w:rsidR="00A834A7" w:rsidRPr="00EE3623">
        <w:t xml:space="preserve"> </w:t>
      </w:r>
      <w:r w:rsidR="00D831B1" w:rsidRPr="00EE3623">
        <w:t xml:space="preserve">the contribution of QLD to overall TFR has increased over time, and the contribution of NSW and SA has decreased. This is mostly due to changes in relative size rather than major changes in fertility within the states. </w:t>
      </w:r>
    </w:p>
    <w:p w14:paraId="77EB5DAD" w14:textId="4930D889" w:rsidR="00D03605" w:rsidRPr="00EE3623" w:rsidRDefault="00A834A7" w:rsidP="00D03605">
      <w:r w:rsidRPr="00EE3623">
        <w:t xml:space="preserve">The relative stability of </w:t>
      </w:r>
      <w:r w:rsidR="002F361D" w:rsidRPr="00EE3623">
        <w:t>d</w:t>
      </w:r>
      <w:r w:rsidR="003B3001" w:rsidRPr="00EE3623">
        <w:t xml:space="preserve">ifferences in fertility rates between States and Territories </w:t>
      </w:r>
      <w:r w:rsidR="00651896" w:rsidRPr="00EE3623">
        <w:t xml:space="preserve">over </w:t>
      </w:r>
      <w:r w:rsidR="002F361D" w:rsidRPr="00EE3623">
        <w:t xml:space="preserve">time can be seen in </w:t>
      </w:r>
      <w:r w:rsidR="00AA6FB6" w:rsidRPr="00EE3623">
        <w:t xml:space="preserve">Figure </w:t>
      </w:r>
      <w:r w:rsidR="001F01AF" w:rsidRPr="00EE3623">
        <w:t>S1</w:t>
      </w:r>
      <w:r w:rsidR="00A30AD5" w:rsidRPr="00EE3623">
        <w:t>,</w:t>
      </w:r>
      <w:r w:rsidR="001F01AF" w:rsidRPr="00EE3623">
        <w:t xml:space="preserve"> </w:t>
      </w:r>
      <w:r w:rsidR="00651896" w:rsidRPr="00EE3623">
        <w:t xml:space="preserve">which tracks the TFR of each State or Territory, as well as the national level, </w:t>
      </w:r>
      <w:r w:rsidR="00AA6FB6" w:rsidRPr="00EE3623">
        <w:t>from 1981</w:t>
      </w:r>
      <w:r w:rsidR="0071623D" w:rsidRPr="0071623D">
        <w:t>–</w:t>
      </w:r>
      <w:r w:rsidR="00AA6FB6" w:rsidRPr="00EE3623">
        <w:t>82 to 2023</w:t>
      </w:r>
      <w:r w:rsidR="0071623D" w:rsidRPr="0071623D">
        <w:t>–</w:t>
      </w:r>
      <w:r w:rsidR="00AA6FB6" w:rsidRPr="00EE3623">
        <w:t>24. South Australia (SA), Victoria (VIC), and the Australian Capital Territory (ACT) have traditionally had lower levels of fertility than the national average</w:t>
      </w:r>
      <w:r w:rsidR="00640A14" w:rsidRPr="00EE3623">
        <w:t xml:space="preserve">. </w:t>
      </w:r>
      <w:r w:rsidR="00D03605" w:rsidRPr="00EE3623">
        <w:t xml:space="preserve">NSW has generally fluctuated just above the national average. NSW has a diverse population, with a mix of highly urbanised areas like Sydney as well as significant regional and rural communities. This mix has a balancing effect on the state’s fertility rate, as the lower fertility in urban areas is offset by higher fertility in regional areas. Queensland has </w:t>
      </w:r>
      <w:r w:rsidR="00640A14" w:rsidRPr="00EE3623">
        <w:t xml:space="preserve">also </w:t>
      </w:r>
      <w:r w:rsidR="00D03605" w:rsidRPr="00EE3623">
        <w:t xml:space="preserve">historically recorded fertility rates above the national average. </w:t>
      </w:r>
      <w:r w:rsidR="00D03605" w:rsidRPr="00EE3623">
        <w:lastRenderedPageBreak/>
        <w:t>This trend is partly due to Queensland's large regional and rural population, where fertility rates are typically higher.</w:t>
      </w:r>
    </w:p>
    <w:p w14:paraId="0794D6CE" w14:textId="5F16FC63" w:rsidR="00AA6FB6" w:rsidRPr="00EE3623" w:rsidRDefault="00640A14" w:rsidP="00AA6FB6">
      <w:r w:rsidRPr="00EE3623">
        <w:t>The Northern Territory (NT) has consistently had the highest fertility rates among all Australian regions. This is largely influenced by the NT’s unique demographic profile, which includes a significant proportion of Indigenous Australians, who historically have had higher fertility than the non-Indigenous population. Recently, however, the TFR in the Northern Territory has declined and is now closer to the national average than in the past</w:t>
      </w:r>
      <w:r w:rsidR="001C26FE" w:rsidRPr="00EE3623">
        <w:t xml:space="preserve">. </w:t>
      </w:r>
      <w:r w:rsidRPr="00EE3623">
        <w:t xml:space="preserve">Tasmania has also typically had a TFR that is higher than the national average. The TFR of Western Australia has varied over </w:t>
      </w:r>
      <w:proofErr w:type="gramStart"/>
      <w:r w:rsidRPr="00EE3623">
        <w:t>time</w:t>
      </w:r>
      <w:r w:rsidR="009D0124" w:rsidRPr="00EE3623">
        <w:t>,</w:t>
      </w:r>
      <w:r w:rsidRPr="00EE3623">
        <w:t xml:space="preserve"> but</w:t>
      </w:r>
      <w:proofErr w:type="gramEnd"/>
      <w:r w:rsidRPr="00EE3623">
        <w:t xml:space="preserve"> has more often been above the national average than below it</w:t>
      </w:r>
      <w:r w:rsidR="001C26FE" w:rsidRPr="00EE3623">
        <w:t xml:space="preserve">. </w:t>
      </w:r>
      <w:r w:rsidR="00AF7CF9" w:rsidRPr="00EE3623">
        <w:t>S</w:t>
      </w:r>
      <w:r w:rsidR="00AA6FB6" w:rsidRPr="00EE3623">
        <w:t>ince 2010</w:t>
      </w:r>
      <w:r w:rsidR="00DE3A96" w:rsidRPr="00EE3623">
        <w:t>,</w:t>
      </w:r>
      <w:r w:rsidR="00AA6FB6" w:rsidRPr="00EE3623">
        <w:t xml:space="preserve"> there has been some convergence in the </w:t>
      </w:r>
      <w:r w:rsidR="00866C6B" w:rsidRPr="00EE3623">
        <w:t xml:space="preserve">fertility rates of </w:t>
      </w:r>
      <w:r w:rsidR="00AA6FB6" w:rsidRPr="00EE3623">
        <w:t xml:space="preserve">SA, TAS and NT towards the national TFR. </w:t>
      </w:r>
    </w:p>
    <w:p w14:paraId="759DD50C" w14:textId="2B203A50" w:rsidR="00256CFD" w:rsidRPr="00EE3623" w:rsidRDefault="00256CFD" w:rsidP="00256CFD">
      <w:r w:rsidRPr="00EE3623">
        <w:t>Each State and Territory also ha</w:t>
      </w:r>
      <w:r w:rsidR="00DE3A96" w:rsidRPr="00EE3623">
        <w:t>s</w:t>
      </w:r>
      <w:r w:rsidRPr="00EE3623">
        <w:t xml:space="preserve"> varying fertility age patterns, as shown in Figure S2. Here, data from 2018</w:t>
      </w:r>
      <w:r w:rsidR="0071623D" w:rsidRPr="0071623D">
        <w:t>–</w:t>
      </w:r>
      <w:r w:rsidRPr="00EE3623">
        <w:t>19 to 2023</w:t>
      </w:r>
      <w:r w:rsidR="0071623D" w:rsidRPr="0071623D">
        <w:t>–</w:t>
      </w:r>
      <w:r w:rsidRPr="00EE3623">
        <w:t>24 have been averaged as some of the smaller States and Territories (</w:t>
      </w:r>
      <w:r w:rsidR="00DA60CE">
        <w:t>that is</w:t>
      </w:r>
      <w:r w:rsidRPr="00EE3623">
        <w:t xml:space="preserve">, NT, TAS and ACT) exhibit fluctuations when looking at annual age patterns due to small numbers. </w:t>
      </w:r>
    </w:p>
    <w:p w14:paraId="259EE718" w14:textId="7BC3ADE1" w:rsidR="00AA6FB6" w:rsidRPr="008A4F9C" w:rsidRDefault="0034664A" w:rsidP="008A4F9C">
      <w:pPr>
        <w:rPr>
          <w:rStyle w:val="Strong"/>
        </w:rPr>
      </w:pPr>
      <w:r w:rsidRPr="008A4F9C">
        <w:rPr>
          <w:rStyle w:val="Strong"/>
        </w:rPr>
        <w:t>Figure</w:t>
      </w:r>
      <w:r w:rsidR="006317B6">
        <w:rPr>
          <w:rStyle w:val="Strong"/>
        </w:rPr>
        <w:t> </w:t>
      </w:r>
      <w:r w:rsidRPr="008A4F9C">
        <w:rPr>
          <w:rStyle w:val="Strong"/>
        </w:rPr>
        <w:t>S</w:t>
      </w:r>
      <w:r w:rsidR="00F75728" w:rsidRPr="008A4F9C">
        <w:rPr>
          <w:rStyle w:val="Strong"/>
        </w:rPr>
        <w:fldChar w:fldCharType="begin"/>
      </w:r>
      <w:r w:rsidR="00F75728" w:rsidRPr="008A4F9C">
        <w:rPr>
          <w:rStyle w:val="Strong"/>
        </w:rPr>
        <w:instrText xml:space="preserve"> SEQ Figure_S \* ARABIC </w:instrText>
      </w:r>
      <w:r w:rsidR="00F75728" w:rsidRPr="008A4F9C">
        <w:rPr>
          <w:rStyle w:val="Strong"/>
        </w:rPr>
        <w:fldChar w:fldCharType="separate"/>
      </w:r>
      <w:r w:rsidR="00F75728" w:rsidRPr="008A4F9C">
        <w:rPr>
          <w:rStyle w:val="Strong"/>
        </w:rPr>
        <w:t>1</w:t>
      </w:r>
      <w:r w:rsidR="00F75728" w:rsidRPr="008A4F9C">
        <w:rPr>
          <w:rStyle w:val="Strong"/>
        </w:rPr>
        <w:fldChar w:fldCharType="end"/>
      </w:r>
      <w:r w:rsidRPr="008A4F9C">
        <w:rPr>
          <w:rStyle w:val="Strong"/>
        </w:rPr>
        <w:t>: Total Fertility Rate by State/Territory, 1981</w:t>
      </w:r>
      <w:r w:rsidR="0071623D" w:rsidRPr="008A4F9C">
        <w:rPr>
          <w:rStyle w:val="Strong"/>
        </w:rPr>
        <w:t>–</w:t>
      </w:r>
      <w:r w:rsidRPr="008A4F9C">
        <w:rPr>
          <w:rStyle w:val="Strong"/>
        </w:rPr>
        <w:t>82 to 2023</w:t>
      </w:r>
      <w:r w:rsidR="0071623D" w:rsidRPr="008A4F9C">
        <w:rPr>
          <w:rStyle w:val="Strong"/>
        </w:rPr>
        <w:t>–</w:t>
      </w:r>
      <w:r w:rsidRPr="008A4F9C">
        <w:rPr>
          <w:rStyle w:val="Strong"/>
        </w:rPr>
        <w:t>24</w:t>
      </w:r>
    </w:p>
    <w:p w14:paraId="5C14497A" w14:textId="76B248B8" w:rsidR="00AA6FB6" w:rsidRPr="00EE3623" w:rsidRDefault="0055293F" w:rsidP="00A526B6">
      <w:pPr>
        <w:spacing w:after="0"/>
      </w:pPr>
      <w:r w:rsidRPr="00EE3623">
        <w:rPr>
          <w:noProof/>
        </w:rPr>
        <w:drawing>
          <wp:inline distT="0" distB="0" distL="0" distR="0" wp14:anchorId="309CB3A1" wp14:editId="78DD69B0">
            <wp:extent cx="4680000" cy="2804400"/>
            <wp:effectExtent l="0" t="0" r="6350" b="0"/>
            <wp:docPr id="40132720" name="Picture 9" descr="Graph depicting total fertility rates for Australia and each state and territory from 1980 to 2022. Most regions exhibit a long-term decrease, with a minor peak occurring near 2008. The Northern Territory stands out with the highest fertility rates overall, while the Australian Capital Territory frequently records the lo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2720" name="Picture 9" descr="Graph depicting total fertility rates for Australia and each state and territory from 1980 to 2022. Most regions exhibit a long-term decrease, with a minor peak occurring near 2008. The Northern Territory stands out with the highest fertility rates overall, while the Australian Capital Territory frequently records the lowest."/>
                    <pic:cNvPicPr/>
                  </pic:nvPicPr>
                  <pic:blipFill>
                    <a:blip r:embed="rId14"/>
                    <a:stretch>
                      <a:fillRect/>
                    </a:stretch>
                  </pic:blipFill>
                  <pic:spPr>
                    <a:xfrm>
                      <a:off x="0" y="0"/>
                      <a:ext cx="4680000" cy="2804400"/>
                    </a:xfrm>
                    <a:prstGeom prst="rect">
                      <a:avLst/>
                    </a:prstGeom>
                  </pic:spPr>
                </pic:pic>
              </a:graphicData>
            </a:graphic>
          </wp:inline>
        </w:drawing>
      </w:r>
    </w:p>
    <w:p w14:paraId="1153AB49" w14:textId="115DF39C" w:rsidR="00AA6FB6" w:rsidRPr="00EE3623" w:rsidRDefault="00AA6FB6" w:rsidP="001A446B">
      <w:pPr>
        <w:pStyle w:val="Source"/>
      </w:pPr>
      <w:r w:rsidRPr="00EE3623">
        <w:t xml:space="preserve">Source: Data supplied by </w:t>
      </w:r>
      <w:r w:rsidR="000D2801" w:rsidRPr="00EE3623">
        <w:t>Centre</w:t>
      </w:r>
      <w:r w:rsidR="00EF4CCF" w:rsidRPr="00EE3623">
        <w:t xml:space="preserve"> for </w:t>
      </w:r>
      <w:r w:rsidR="00A40233" w:rsidRPr="00EE3623">
        <w:t>Population</w:t>
      </w:r>
      <w:r w:rsidR="000D2801" w:rsidRPr="00EE3623">
        <w:t>.</w:t>
      </w:r>
    </w:p>
    <w:p w14:paraId="6CED4780" w14:textId="1EAF9652" w:rsidR="0034664A" w:rsidRPr="008A4F9C" w:rsidRDefault="0034664A" w:rsidP="008A4F9C">
      <w:pPr>
        <w:keepNext/>
        <w:rPr>
          <w:rStyle w:val="Strong"/>
        </w:rPr>
      </w:pPr>
      <w:r w:rsidRPr="008A4F9C">
        <w:rPr>
          <w:rStyle w:val="Strong"/>
        </w:rPr>
        <w:lastRenderedPageBreak/>
        <w:t>Figure</w:t>
      </w:r>
      <w:r w:rsidR="006317B6">
        <w:rPr>
          <w:rStyle w:val="Strong"/>
        </w:rPr>
        <w:t> </w:t>
      </w:r>
      <w:r w:rsidRPr="008A4F9C">
        <w:rPr>
          <w:rStyle w:val="Strong"/>
        </w:rPr>
        <w:t>S</w:t>
      </w:r>
      <w:r w:rsidR="00F75728" w:rsidRPr="008A4F9C">
        <w:rPr>
          <w:rStyle w:val="Strong"/>
        </w:rPr>
        <w:fldChar w:fldCharType="begin"/>
      </w:r>
      <w:r w:rsidR="00F75728" w:rsidRPr="008A4F9C">
        <w:rPr>
          <w:rStyle w:val="Strong"/>
        </w:rPr>
        <w:instrText xml:space="preserve"> SEQ Figure_S \* ARABIC </w:instrText>
      </w:r>
      <w:r w:rsidR="00F75728" w:rsidRPr="008A4F9C">
        <w:rPr>
          <w:rStyle w:val="Strong"/>
        </w:rPr>
        <w:fldChar w:fldCharType="separate"/>
      </w:r>
      <w:r w:rsidR="00F75728" w:rsidRPr="008A4F9C">
        <w:rPr>
          <w:rStyle w:val="Strong"/>
        </w:rPr>
        <w:t>2</w:t>
      </w:r>
      <w:r w:rsidR="00F75728" w:rsidRPr="008A4F9C">
        <w:rPr>
          <w:rStyle w:val="Strong"/>
        </w:rPr>
        <w:fldChar w:fldCharType="end"/>
      </w:r>
      <w:r w:rsidRPr="008A4F9C">
        <w:rPr>
          <w:rStyle w:val="Strong"/>
        </w:rPr>
        <w:t>: Age-specific fertility rates (average over 2018</w:t>
      </w:r>
      <w:r w:rsidR="0071623D" w:rsidRPr="008A4F9C">
        <w:rPr>
          <w:rStyle w:val="Strong"/>
        </w:rPr>
        <w:t>–</w:t>
      </w:r>
      <w:r w:rsidRPr="008A4F9C">
        <w:rPr>
          <w:rStyle w:val="Strong"/>
        </w:rPr>
        <w:t>19 to 2023</w:t>
      </w:r>
      <w:r w:rsidR="0071623D" w:rsidRPr="008A4F9C">
        <w:rPr>
          <w:rStyle w:val="Strong"/>
        </w:rPr>
        <w:t>–</w:t>
      </w:r>
      <w:r w:rsidRPr="008A4F9C">
        <w:rPr>
          <w:rStyle w:val="Strong"/>
        </w:rPr>
        <w:t>24) by State</w:t>
      </w:r>
      <w:r w:rsidR="00B65990" w:rsidRPr="008A4F9C">
        <w:rPr>
          <w:rStyle w:val="Strong"/>
        </w:rPr>
        <w:t>/</w:t>
      </w:r>
      <w:r w:rsidRPr="008A4F9C">
        <w:rPr>
          <w:rStyle w:val="Strong"/>
        </w:rPr>
        <w:t>Territory</w:t>
      </w:r>
    </w:p>
    <w:p w14:paraId="2C0F8B77" w14:textId="26FD9F6F" w:rsidR="00AA6FB6" w:rsidRPr="00EE3623" w:rsidRDefault="003F69B5" w:rsidP="006F2625">
      <w:pPr>
        <w:keepNext/>
        <w:rPr>
          <w:b/>
          <w:bCs/>
        </w:rPr>
      </w:pPr>
      <w:r w:rsidRPr="00EE3623">
        <w:rPr>
          <w:b/>
          <w:bCs/>
          <w:noProof/>
        </w:rPr>
        <w:drawing>
          <wp:inline distT="0" distB="0" distL="0" distR="0" wp14:anchorId="6ADA3472" wp14:editId="612C7D92">
            <wp:extent cx="4680000" cy="2804400"/>
            <wp:effectExtent l="0" t="0" r="6350" b="0"/>
            <wp:docPr id="1186273683" name="Picture 10" descr="Graph depicting ASFR data for women aged 15 to 49 across Australian states and territories, with a national trend highlighted in bold. Most regions reach their fertility peak around age 30 to 34, following a bell-shaped curve. The Northern Territory is an outlier with comparatively high early-age fertility, particularly before 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3683" name="Picture 10" descr="Graph depicting ASFR data for women aged 15 to 49 across Australian states and territories, with a national trend highlighted in bold. Most regions reach their fertility peak around age 30 to 34, following a bell-shaped curve. The Northern Territory is an outlier with comparatively high early-age fertility, particularly before age 25."/>
                    <pic:cNvPicPr/>
                  </pic:nvPicPr>
                  <pic:blipFill>
                    <a:blip r:embed="rId15"/>
                    <a:stretch>
                      <a:fillRect/>
                    </a:stretch>
                  </pic:blipFill>
                  <pic:spPr>
                    <a:xfrm>
                      <a:off x="0" y="0"/>
                      <a:ext cx="4680000" cy="2804400"/>
                    </a:xfrm>
                    <a:prstGeom prst="rect">
                      <a:avLst/>
                    </a:prstGeom>
                  </pic:spPr>
                </pic:pic>
              </a:graphicData>
            </a:graphic>
          </wp:inline>
        </w:drawing>
      </w:r>
    </w:p>
    <w:p w14:paraId="39424536" w14:textId="2DB2D151" w:rsidR="00EF4CCF" w:rsidRPr="00EE3623" w:rsidRDefault="00EF4CCF" w:rsidP="00EF4CCF">
      <w:pPr>
        <w:rPr>
          <w:sz w:val="16"/>
          <w:szCs w:val="16"/>
        </w:rPr>
      </w:pPr>
      <w:r w:rsidRPr="00EE3623">
        <w:rPr>
          <w:sz w:val="16"/>
          <w:szCs w:val="16"/>
        </w:rPr>
        <w:t xml:space="preserve">Source: Data supplied by </w:t>
      </w:r>
      <w:r w:rsidR="000D2801" w:rsidRPr="00EE3623">
        <w:rPr>
          <w:sz w:val="16"/>
          <w:szCs w:val="16"/>
        </w:rPr>
        <w:t>Centre</w:t>
      </w:r>
      <w:r w:rsidRPr="00EE3623">
        <w:rPr>
          <w:sz w:val="16"/>
          <w:szCs w:val="16"/>
        </w:rPr>
        <w:t xml:space="preserve"> for </w:t>
      </w:r>
      <w:r w:rsidR="00A40233" w:rsidRPr="00EE3623">
        <w:rPr>
          <w:sz w:val="16"/>
          <w:szCs w:val="16"/>
        </w:rPr>
        <w:t>Population</w:t>
      </w:r>
      <w:r w:rsidR="00935223" w:rsidRPr="00EE3623">
        <w:rPr>
          <w:sz w:val="16"/>
          <w:szCs w:val="16"/>
        </w:rPr>
        <w:t>.</w:t>
      </w:r>
    </w:p>
    <w:p w14:paraId="0D863095" w14:textId="580E9D1D" w:rsidR="00AA6FB6" w:rsidRPr="00EE3623" w:rsidRDefault="003A6878" w:rsidP="00B1119B">
      <w:pPr>
        <w:pStyle w:val="Heading3"/>
      </w:pPr>
      <w:r w:rsidRPr="00EE3623">
        <w:t xml:space="preserve">Projected fertility </w:t>
      </w:r>
    </w:p>
    <w:p w14:paraId="56140347" w14:textId="66CE8113" w:rsidR="00EF7ECD" w:rsidRPr="00EE3623" w:rsidRDefault="00AA6FB6" w:rsidP="00EF7ECD">
      <w:r w:rsidRPr="00EE3623">
        <w:t xml:space="preserve">When projecting future fertility at the sub-national level, we assumed that all </w:t>
      </w:r>
      <w:r w:rsidR="003D0F25" w:rsidRPr="00EE3623">
        <w:t>S</w:t>
      </w:r>
      <w:r w:rsidRPr="00EE3623">
        <w:t xml:space="preserve">tates and </w:t>
      </w:r>
      <w:r w:rsidR="003D0F25" w:rsidRPr="00EE3623">
        <w:t>T</w:t>
      </w:r>
      <w:r w:rsidRPr="00EE3623">
        <w:t xml:space="preserve">erritories would experience the overall trend of declining fertility. </w:t>
      </w:r>
      <w:r w:rsidR="00EF7ECD" w:rsidRPr="00EE3623">
        <w:t xml:space="preserve">We assume that each </w:t>
      </w:r>
      <w:r w:rsidR="003D0F25" w:rsidRPr="00EE3623">
        <w:t>S</w:t>
      </w:r>
      <w:r w:rsidR="00EF7ECD" w:rsidRPr="00EE3623">
        <w:t xml:space="preserve">tate and </w:t>
      </w:r>
      <w:r w:rsidR="003D0F25" w:rsidRPr="00EE3623">
        <w:t>T</w:t>
      </w:r>
      <w:r w:rsidR="00EF7ECD" w:rsidRPr="00EE3623">
        <w:t>erritory will retain some distinctive features in the age patterns of childbearing. However</w:t>
      </w:r>
      <w:r w:rsidR="00C559B2" w:rsidRPr="00EE3623">
        <w:t>,</w:t>
      </w:r>
      <w:r w:rsidR="00EF7ECD" w:rsidRPr="00EE3623">
        <w:t xml:space="preserve"> </w:t>
      </w:r>
      <w:r w:rsidR="00C559B2" w:rsidRPr="00EE3623">
        <w:t>over time</w:t>
      </w:r>
      <w:r w:rsidR="00EF7ECD" w:rsidRPr="00EE3623">
        <w:t>, we expect a gradual convergence toward a more uniform national age distribution. For example, in the Northern Territory, we anticipate a significant reduction in the early-age fertility ‘hump’ (Figure S</w:t>
      </w:r>
      <w:r w:rsidR="003B5A14" w:rsidRPr="00EE3623">
        <w:t>4</w:t>
      </w:r>
      <w:r w:rsidR="00EF7ECD" w:rsidRPr="00EE3623">
        <w:t xml:space="preserve">). </w:t>
      </w:r>
    </w:p>
    <w:p w14:paraId="48A78836" w14:textId="4DFFFE1B" w:rsidR="004D0D3D" w:rsidRPr="008A4F9C" w:rsidRDefault="004D0D3D" w:rsidP="008A4F9C">
      <w:pPr>
        <w:rPr>
          <w:rStyle w:val="Strong"/>
        </w:rPr>
      </w:pPr>
      <w:r w:rsidRPr="008A4F9C">
        <w:rPr>
          <w:rStyle w:val="Strong"/>
        </w:rPr>
        <w:t>Figure</w:t>
      </w:r>
      <w:r w:rsidR="006317B6">
        <w:rPr>
          <w:rStyle w:val="Strong"/>
        </w:rPr>
        <w:t> </w:t>
      </w:r>
      <w:r w:rsidRPr="008A4F9C">
        <w:rPr>
          <w:rStyle w:val="Strong"/>
        </w:rPr>
        <w:t>S</w:t>
      </w:r>
      <w:r w:rsidR="001C54E8" w:rsidRPr="008A4F9C">
        <w:rPr>
          <w:rStyle w:val="Strong"/>
        </w:rPr>
        <w:fldChar w:fldCharType="begin"/>
      </w:r>
      <w:r w:rsidR="001C54E8" w:rsidRPr="008A4F9C">
        <w:rPr>
          <w:rStyle w:val="Strong"/>
        </w:rPr>
        <w:instrText xml:space="preserve"> SEQ Figure_S \* ARABIC </w:instrText>
      </w:r>
      <w:r w:rsidR="001C54E8" w:rsidRPr="008A4F9C">
        <w:rPr>
          <w:rStyle w:val="Strong"/>
        </w:rPr>
        <w:fldChar w:fldCharType="separate"/>
      </w:r>
      <w:r w:rsidR="001C54E8" w:rsidRPr="008A4F9C">
        <w:rPr>
          <w:rStyle w:val="Strong"/>
        </w:rPr>
        <w:t>3</w:t>
      </w:r>
      <w:r w:rsidR="001C54E8" w:rsidRPr="008A4F9C">
        <w:rPr>
          <w:rStyle w:val="Strong"/>
        </w:rPr>
        <w:fldChar w:fldCharType="end"/>
      </w:r>
      <w:r w:rsidRPr="008A4F9C">
        <w:rPr>
          <w:rStyle w:val="Strong"/>
        </w:rPr>
        <w:t>: Observed (2023</w:t>
      </w:r>
      <w:r w:rsidR="0071623D" w:rsidRPr="008A4F9C">
        <w:rPr>
          <w:rStyle w:val="Strong"/>
        </w:rPr>
        <w:t>–</w:t>
      </w:r>
      <w:r w:rsidRPr="008A4F9C">
        <w:rPr>
          <w:rStyle w:val="Strong"/>
        </w:rPr>
        <w:t xml:space="preserve">24) and projected </w:t>
      </w:r>
      <w:r w:rsidR="001C54E8" w:rsidRPr="008A4F9C">
        <w:rPr>
          <w:rStyle w:val="Strong"/>
        </w:rPr>
        <w:t>fertility f</w:t>
      </w:r>
      <w:r w:rsidRPr="008A4F9C">
        <w:rPr>
          <w:rStyle w:val="Strong"/>
        </w:rPr>
        <w:t>or</w:t>
      </w:r>
      <w:r w:rsidR="001C54E8" w:rsidRPr="008A4F9C">
        <w:rPr>
          <w:rStyle w:val="Strong"/>
        </w:rPr>
        <w:t xml:space="preserve"> the</w:t>
      </w:r>
      <w:r w:rsidRPr="008A4F9C">
        <w:rPr>
          <w:rStyle w:val="Strong"/>
        </w:rPr>
        <w:t xml:space="preserve"> Northern Territory</w:t>
      </w:r>
      <w:r w:rsidR="001C54E8" w:rsidRPr="008A4F9C">
        <w:rPr>
          <w:rStyle w:val="Strong"/>
        </w:rPr>
        <w:t>, high, medium and low scenario</w:t>
      </w:r>
    </w:p>
    <w:p w14:paraId="55D9FC23" w14:textId="4FB8156D" w:rsidR="00AA6FB6" w:rsidRPr="00EE3623" w:rsidRDefault="00824776" w:rsidP="00AA6FB6">
      <w:r w:rsidRPr="00EE3623">
        <w:rPr>
          <w:noProof/>
        </w:rPr>
        <w:drawing>
          <wp:inline distT="0" distB="0" distL="0" distR="0" wp14:anchorId="641ADE5F" wp14:editId="0A99723C">
            <wp:extent cx="3907684" cy="2654628"/>
            <wp:effectExtent l="0" t="0" r="0" b="0"/>
            <wp:docPr id="512822725" name="Picture 3" descr="A multi-line chart shows ASFR per 1,000 women from ages 15 to 49, comparing 2023–24 observed rates with three projected variants for 2065–66 for the Northern Territory. The observed data has a large spread of fertility in the younger ages  which is matched or exceeded in the high projection and approached by the medium projection. The low projection indicates significantly reduced fertility under age 30 and a smoother, delayed 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22725" name="Picture 3" descr="A multi-line chart shows ASFR per 1,000 women from ages 15 to 49, comparing 2023–24 observed rates with three projected variants for 2065–66 for the Northern Territory. The observed data has a large spread of fertility in the younger ages  which is matched or exceeded in the high projection and approached by the medium projection. The low projection indicates significantly reduced fertility under age 30 and a smoother, delayed peak."/>
                    <pic:cNvPicPr/>
                  </pic:nvPicPr>
                  <pic:blipFill>
                    <a:blip r:embed="rId16"/>
                    <a:stretch>
                      <a:fillRect/>
                    </a:stretch>
                  </pic:blipFill>
                  <pic:spPr>
                    <a:xfrm>
                      <a:off x="0" y="0"/>
                      <a:ext cx="3913449" cy="2658544"/>
                    </a:xfrm>
                    <a:prstGeom prst="rect">
                      <a:avLst/>
                    </a:prstGeom>
                  </pic:spPr>
                </pic:pic>
              </a:graphicData>
            </a:graphic>
          </wp:inline>
        </w:drawing>
      </w:r>
    </w:p>
    <w:p w14:paraId="32F2EE12" w14:textId="0527AF3F" w:rsidR="00971F1C" w:rsidRPr="00EE3623" w:rsidRDefault="00971F1C" w:rsidP="001A446B">
      <w:pPr>
        <w:pStyle w:val="Source"/>
      </w:pPr>
      <w:r w:rsidRPr="00EE3623">
        <w:t>Source: Data for 2023</w:t>
      </w:r>
      <w:r w:rsidR="0071623D" w:rsidRPr="0071623D">
        <w:t>–</w:t>
      </w:r>
      <w:r w:rsidRPr="00EE3623">
        <w:t>24 supplied by Centre for Population.</w:t>
      </w:r>
    </w:p>
    <w:p w14:paraId="7A4D2320" w14:textId="70C42AF8" w:rsidR="003B2412" w:rsidRPr="00EE3623" w:rsidRDefault="00256CFD" w:rsidP="003B2412">
      <w:r w:rsidRPr="00EE3623">
        <w:t>Trends toward the long-term ‘medium’ target TFRs for each state/territory can be seen in Figure S</w:t>
      </w:r>
      <w:r w:rsidR="003B2412" w:rsidRPr="00EE3623">
        <w:t>4</w:t>
      </w:r>
      <w:r w:rsidRPr="00EE3623">
        <w:t xml:space="preserve">. </w:t>
      </w:r>
      <w:r w:rsidR="003B2412" w:rsidRPr="00EE3623">
        <w:t xml:space="preserve">The medium value and low and high values for each state/territory are also shown in further detail in Table S1. </w:t>
      </w:r>
    </w:p>
    <w:p w14:paraId="71C12259" w14:textId="3E2EB81D" w:rsidR="00256CFD" w:rsidRPr="00EE3623" w:rsidRDefault="00256CFD" w:rsidP="00256CFD">
      <w:r w:rsidRPr="00EE3623">
        <w:t>The ACT had a very low value of 1.26 in 2023</w:t>
      </w:r>
      <w:r w:rsidR="0071623D" w:rsidRPr="0071623D">
        <w:t>–</w:t>
      </w:r>
      <w:r w:rsidRPr="00EE3623">
        <w:t xml:space="preserve">24. As such, its path to a future target of 1.23 was largely stable. </w:t>
      </w:r>
    </w:p>
    <w:p w14:paraId="194FB735" w14:textId="1454E661" w:rsidR="00256CFD" w:rsidRPr="006317B6" w:rsidRDefault="00256CFD" w:rsidP="006317B6">
      <w:pPr>
        <w:rPr>
          <w:rStyle w:val="Strong"/>
        </w:rPr>
      </w:pPr>
      <w:r w:rsidRPr="006317B6">
        <w:rPr>
          <w:rStyle w:val="Strong"/>
        </w:rPr>
        <w:lastRenderedPageBreak/>
        <w:t>Figure</w:t>
      </w:r>
      <w:r w:rsidR="006317B6">
        <w:rPr>
          <w:rStyle w:val="Strong"/>
        </w:rPr>
        <w:t> </w:t>
      </w:r>
      <w:r w:rsidRPr="006317B6">
        <w:rPr>
          <w:rStyle w:val="Strong"/>
        </w:rPr>
        <w:t>S</w:t>
      </w:r>
      <w:r w:rsidR="001C54E8" w:rsidRPr="006317B6">
        <w:rPr>
          <w:rStyle w:val="Strong"/>
        </w:rPr>
        <w:fldChar w:fldCharType="begin"/>
      </w:r>
      <w:r w:rsidR="001C54E8" w:rsidRPr="006317B6">
        <w:rPr>
          <w:rStyle w:val="Strong"/>
        </w:rPr>
        <w:instrText xml:space="preserve"> SEQ Figure_S \* ARABIC </w:instrText>
      </w:r>
      <w:r w:rsidR="001C54E8" w:rsidRPr="006317B6">
        <w:rPr>
          <w:rStyle w:val="Strong"/>
        </w:rPr>
        <w:fldChar w:fldCharType="separate"/>
      </w:r>
      <w:r w:rsidR="001C54E8" w:rsidRPr="006317B6">
        <w:rPr>
          <w:rStyle w:val="Strong"/>
        </w:rPr>
        <w:t>4</w:t>
      </w:r>
      <w:r w:rsidR="001C54E8" w:rsidRPr="006317B6">
        <w:rPr>
          <w:rStyle w:val="Strong"/>
        </w:rPr>
        <w:fldChar w:fldCharType="end"/>
      </w:r>
      <w:r w:rsidRPr="006317B6">
        <w:rPr>
          <w:rStyle w:val="Strong"/>
        </w:rPr>
        <w:t>: Total Fertility Rate – Historical trends and projected to 2065</w:t>
      </w:r>
      <w:r w:rsidR="0071623D" w:rsidRPr="006317B6">
        <w:rPr>
          <w:rStyle w:val="Strong"/>
        </w:rPr>
        <w:t>–</w:t>
      </w:r>
      <w:r w:rsidRPr="006317B6">
        <w:rPr>
          <w:rStyle w:val="Strong"/>
        </w:rPr>
        <w:t>66 by State</w:t>
      </w:r>
      <w:r w:rsidR="00B65990" w:rsidRPr="006317B6">
        <w:rPr>
          <w:rStyle w:val="Strong"/>
        </w:rPr>
        <w:t>/</w:t>
      </w:r>
      <w:r w:rsidRPr="006317B6">
        <w:rPr>
          <w:rStyle w:val="Strong"/>
        </w:rPr>
        <w:t xml:space="preserve">Territory </w:t>
      </w:r>
    </w:p>
    <w:p w14:paraId="22341DEF" w14:textId="77777777" w:rsidR="00256CFD" w:rsidRPr="00EE3623" w:rsidRDefault="00256CFD" w:rsidP="008F504D">
      <w:r w:rsidRPr="00EE3623">
        <w:rPr>
          <w:noProof/>
        </w:rPr>
        <w:drawing>
          <wp:inline distT="0" distB="0" distL="0" distR="0" wp14:anchorId="32BC7F76" wp14:editId="0C134515">
            <wp:extent cx="4557671" cy="2732113"/>
            <wp:effectExtent l="0" t="0" r="0" b="0"/>
            <wp:docPr id="624107311" name="Picture 11" descr="Multi-line chart displaying total fertility rates by Australian state and territory, with historical data up to 2024, followed by projections extending to 2065-66. A steep decline in fertility is evident in the historical data. For the projected path, fertility across states and territories converges somewhat and continues to decline more gradually.  The Northern Territory is projected to retain higher fertility rates than other jurisdictions, while the ACT and Victoria remain on the lower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190605" name="Picture 11" descr="Multi-line chart displaying total fertility rates by Australian state and territory, with historical data up to 2024, followed by projections extending to 2065-66. A steep decline in fertility is evident in the historical data. For the projected path, fertility across states and territories converges somewhat and continues to decline more gradually.  The Northern Territory is projected to retain higher fertility rates than other jurisdictions, while the ACT and Victoria remain on the lower end."/>
                    <pic:cNvPicPr/>
                  </pic:nvPicPr>
                  <pic:blipFill>
                    <a:blip r:embed="rId17"/>
                    <a:stretch>
                      <a:fillRect/>
                    </a:stretch>
                  </pic:blipFill>
                  <pic:spPr>
                    <a:xfrm>
                      <a:off x="0" y="0"/>
                      <a:ext cx="4560853" cy="2734020"/>
                    </a:xfrm>
                    <a:prstGeom prst="rect">
                      <a:avLst/>
                    </a:prstGeom>
                  </pic:spPr>
                </pic:pic>
              </a:graphicData>
            </a:graphic>
          </wp:inline>
        </w:drawing>
      </w:r>
    </w:p>
    <w:p w14:paraId="1F6A0CD0" w14:textId="730F0631" w:rsidR="00971F1C" w:rsidRPr="00EE3623" w:rsidRDefault="00971F1C" w:rsidP="001A446B">
      <w:pPr>
        <w:pStyle w:val="Source"/>
      </w:pPr>
      <w:r w:rsidRPr="00EE3623">
        <w:t>Source: Historical data up to 2023</w:t>
      </w:r>
      <w:r w:rsidR="0071623D" w:rsidRPr="0071623D">
        <w:t>–</w:t>
      </w:r>
      <w:r w:rsidRPr="00EE3623">
        <w:t>24 supplied by Centre for Population.</w:t>
      </w:r>
    </w:p>
    <w:p w14:paraId="2E8CB12B" w14:textId="1472BD58" w:rsidR="00163E80" w:rsidRPr="006317B6" w:rsidRDefault="00163E80" w:rsidP="006317B6">
      <w:pPr>
        <w:rPr>
          <w:rStyle w:val="Strong"/>
        </w:rPr>
      </w:pPr>
      <w:r w:rsidRPr="006317B6">
        <w:rPr>
          <w:rStyle w:val="Strong"/>
        </w:rPr>
        <w:t>Table</w:t>
      </w:r>
      <w:r w:rsidR="006317B6">
        <w:rPr>
          <w:rStyle w:val="Strong"/>
        </w:rPr>
        <w:t> </w:t>
      </w:r>
      <w:r w:rsidRPr="006317B6">
        <w:rPr>
          <w:rStyle w:val="Strong"/>
        </w:rPr>
        <w:t>S1: Observed (2023</w:t>
      </w:r>
      <w:r w:rsidR="0071623D" w:rsidRPr="006317B6">
        <w:rPr>
          <w:rStyle w:val="Strong"/>
        </w:rPr>
        <w:t>–</w:t>
      </w:r>
      <w:r w:rsidRPr="006317B6">
        <w:rPr>
          <w:rStyle w:val="Strong"/>
        </w:rPr>
        <w:t>24) and projected (2065</w:t>
      </w:r>
      <w:r w:rsidR="0071623D" w:rsidRPr="006317B6">
        <w:rPr>
          <w:rStyle w:val="Strong"/>
        </w:rPr>
        <w:t>–</w:t>
      </w:r>
      <w:r w:rsidRPr="006317B6">
        <w:rPr>
          <w:rStyle w:val="Strong"/>
        </w:rPr>
        <w:t>66) Total Fertility Rate by State/Territory under high, medium and low scenario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1399"/>
        <w:gridCol w:w="1399"/>
        <w:gridCol w:w="1399"/>
        <w:gridCol w:w="1399"/>
      </w:tblGrid>
      <w:tr w:rsidR="00324E35" w:rsidRPr="001D1E1C" w14:paraId="6BEA4BB5" w14:textId="77777777" w:rsidTr="001D1E1C">
        <w:trPr>
          <w:trHeight w:val="20"/>
        </w:trPr>
        <w:tc>
          <w:tcPr>
            <w:tcW w:w="2977" w:type="dxa"/>
            <w:tcBorders>
              <w:top w:val="single" w:sz="4" w:space="0" w:color="auto"/>
              <w:bottom w:val="single" w:sz="4" w:space="0" w:color="auto"/>
            </w:tcBorders>
          </w:tcPr>
          <w:p w14:paraId="632B924B" w14:textId="0C196C83" w:rsidR="00324E35" w:rsidRPr="001D1E1C" w:rsidRDefault="000A66D0" w:rsidP="001D1E1C">
            <w:pPr>
              <w:pStyle w:val="TableHeading"/>
            </w:pPr>
            <w:r w:rsidRPr="001D1E1C">
              <w:t>State/Territory</w:t>
            </w:r>
          </w:p>
        </w:tc>
        <w:tc>
          <w:tcPr>
            <w:tcW w:w="1304" w:type="dxa"/>
            <w:tcBorders>
              <w:top w:val="single" w:sz="4" w:space="0" w:color="auto"/>
              <w:bottom w:val="single" w:sz="4" w:space="0" w:color="auto"/>
            </w:tcBorders>
          </w:tcPr>
          <w:p w14:paraId="19983C70" w14:textId="15EE2A72" w:rsidR="00324E35" w:rsidRPr="001D1E1C" w:rsidRDefault="00324E35" w:rsidP="001D1E1C">
            <w:pPr>
              <w:pStyle w:val="TableHeading"/>
              <w:jc w:val="right"/>
            </w:pPr>
            <w:r w:rsidRPr="001D1E1C">
              <w:t>2023</w:t>
            </w:r>
            <w:r w:rsidR="0071623D" w:rsidRPr="001D1E1C">
              <w:t>–</w:t>
            </w:r>
            <w:r w:rsidRPr="001D1E1C">
              <w:t>24</w:t>
            </w:r>
          </w:p>
        </w:tc>
        <w:tc>
          <w:tcPr>
            <w:tcW w:w="1304" w:type="dxa"/>
            <w:tcBorders>
              <w:top w:val="single" w:sz="4" w:space="0" w:color="auto"/>
              <w:bottom w:val="single" w:sz="4" w:space="0" w:color="auto"/>
            </w:tcBorders>
          </w:tcPr>
          <w:p w14:paraId="00534B77" w14:textId="5E3ADBB3" w:rsidR="00324E35" w:rsidRPr="001D1E1C" w:rsidRDefault="00324E35" w:rsidP="001D1E1C">
            <w:pPr>
              <w:pStyle w:val="TableHeading"/>
              <w:jc w:val="right"/>
            </w:pPr>
            <w:r w:rsidRPr="001D1E1C">
              <w:t>2065–66 Medium</w:t>
            </w:r>
          </w:p>
        </w:tc>
        <w:tc>
          <w:tcPr>
            <w:tcW w:w="1304" w:type="dxa"/>
            <w:tcBorders>
              <w:top w:val="single" w:sz="4" w:space="0" w:color="auto"/>
              <w:bottom w:val="single" w:sz="4" w:space="0" w:color="auto"/>
            </w:tcBorders>
          </w:tcPr>
          <w:p w14:paraId="1682BF3E" w14:textId="31BB0D26" w:rsidR="00324E35" w:rsidRPr="001D1E1C" w:rsidRDefault="00324E35" w:rsidP="001D1E1C">
            <w:pPr>
              <w:pStyle w:val="TableHeading"/>
              <w:jc w:val="right"/>
            </w:pPr>
            <w:r w:rsidRPr="001D1E1C">
              <w:t>2065–66 Low</w:t>
            </w:r>
          </w:p>
        </w:tc>
        <w:tc>
          <w:tcPr>
            <w:tcW w:w="1304" w:type="dxa"/>
            <w:tcBorders>
              <w:top w:val="single" w:sz="4" w:space="0" w:color="auto"/>
              <w:bottom w:val="single" w:sz="4" w:space="0" w:color="auto"/>
            </w:tcBorders>
          </w:tcPr>
          <w:p w14:paraId="30EF6B0B" w14:textId="04B5F0C3" w:rsidR="00324E35" w:rsidRPr="001D1E1C" w:rsidRDefault="00324E35" w:rsidP="001D1E1C">
            <w:pPr>
              <w:pStyle w:val="TableHeading"/>
              <w:jc w:val="right"/>
            </w:pPr>
            <w:r w:rsidRPr="001D1E1C">
              <w:t>2065–66 High</w:t>
            </w:r>
          </w:p>
        </w:tc>
      </w:tr>
      <w:tr w:rsidR="00324E35" w:rsidRPr="00EE3623" w14:paraId="099E0452" w14:textId="77777777" w:rsidTr="001D1E1C">
        <w:trPr>
          <w:trHeight w:val="20"/>
        </w:trPr>
        <w:tc>
          <w:tcPr>
            <w:tcW w:w="2977" w:type="dxa"/>
            <w:tcBorders>
              <w:top w:val="single" w:sz="4" w:space="0" w:color="auto"/>
            </w:tcBorders>
            <w:shd w:val="clear" w:color="auto" w:fill="F2F2F2" w:themeFill="background1" w:themeFillShade="F2"/>
            <w:vAlign w:val="center"/>
          </w:tcPr>
          <w:p w14:paraId="16675272" w14:textId="77777777" w:rsidR="00324E35" w:rsidRPr="00EE3623" w:rsidRDefault="00324E35" w:rsidP="00324E35">
            <w:pPr>
              <w:pStyle w:val="TableText"/>
              <w:rPr>
                <w:lang w:val="en-AU"/>
              </w:rPr>
            </w:pPr>
            <w:r w:rsidRPr="00EE3623">
              <w:rPr>
                <w:lang w:val="en-AU"/>
              </w:rPr>
              <w:t>New South Wales</w:t>
            </w:r>
          </w:p>
        </w:tc>
        <w:tc>
          <w:tcPr>
            <w:tcW w:w="1304" w:type="dxa"/>
            <w:tcBorders>
              <w:top w:val="single" w:sz="4" w:space="0" w:color="auto"/>
            </w:tcBorders>
            <w:shd w:val="clear" w:color="auto" w:fill="F2F2F2" w:themeFill="background1" w:themeFillShade="F2"/>
            <w:vAlign w:val="center"/>
          </w:tcPr>
          <w:p w14:paraId="14D2A447" w14:textId="77777777" w:rsidR="00324E35" w:rsidRPr="00EE3623" w:rsidRDefault="00324E35" w:rsidP="00324E35">
            <w:pPr>
              <w:pStyle w:val="TableText"/>
              <w:jc w:val="right"/>
              <w:rPr>
                <w:b/>
                <w:bCs/>
                <w:lang w:val="en-AU"/>
              </w:rPr>
            </w:pPr>
            <w:r w:rsidRPr="00EE3623">
              <w:rPr>
                <w:b/>
                <w:bCs/>
                <w:lang w:val="en-AU"/>
              </w:rPr>
              <w:t>1.49</w:t>
            </w:r>
          </w:p>
        </w:tc>
        <w:tc>
          <w:tcPr>
            <w:tcW w:w="1304" w:type="dxa"/>
            <w:tcBorders>
              <w:top w:val="single" w:sz="4" w:space="0" w:color="auto"/>
            </w:tcBorders>
            <w:shd w:val="clear" w:color="auto" w:fill="F2F2F2" w:themeFill="background1" w:themeFillShade="F2"/>
            <w:vAlign w:val="center"/>
          </w:tcPr>
          <w:p w14:paraId="6FF4E87E" w14:textId="77777777" w:rsidR="00324E35" w:rsidRPr="00EE3623" w:rsidRDefault="00324E35" w:rsidP="00324E35">
            <w:pPr>
              <w:pStyle w:val="TableText"/>
              <w:jc w:val="right"/>
              <w:rPr>
                <w:b/>
                <w:bCs/>
                <w:lang w:val="en-AU"/>
              </w:rPr>
            </w:pPr>
            <w:r w:rsidRPr="00EE3623">
              <w:rPr>
                <w:b/>
                <w:lang w:val="en-AU"/>
              </w:rPr>
              <w:t>1.</w:t>
            </w:r>
            <w:r w:rsidRPr="00EE3623">
              <w:rPr>
                <w:b/>
                <w:bCs/>
                <w:lang w:val="en-AU"/>
              </w:rPr>
              <w:t>37</w:t>
            </w:r>
          </w:p>
        </w:tc>
        <w:tc>
          <w:tcPr>
            <w:tcW w:w="1304" w:type="dxa"/>
            <w:tcBorders>
              <w:top w:val="single" w:sz="4" w:space="0" w:color="auto"/>
            </w:tcBorders>
            <w:shd w:val="clear" w:color="auto" w:fill="F2F2F2" w:themeFill="background1" w:themeFillShade="F2"/>
            <w:vAlign w:val="center"/>
          </w:tcPr>
          <w:p w14:paraId="21882C87" w14:textId="77777777" w:rsidR="00324E35" w:rsidRPr="00EE3623" w:rsidRDefault="00324E35" w:rsidP="00324E35">
            <w:pPr>
              <w:pStyle w:val="TableText"/>
              <w:jc w:val="right"/>
              <w:rPr>
                <w:lang w:val="en-AU"/>
              </w:rPr>
            </w:pPr>
            <w:r w:rsidRPr="00EE3623">
              <w:rPr>
                <w:lang w:val="en-AU"/>
              </w:rPr>
              <w:t>1.12</w:t>
            </w:r>
          </w:p>
        </w:tc>
        <w:tc>
          <w:tcPr>
            <w:tcW w:w="1304" w:type="dxa"/>
            <w:tcBorders>
              <w:top w:val="single" w:sz="4" w:space="0" w:color="auto"/>
            </w:tcBorders>
            <w:shd w:val="clear" w:color="auto" w:fill="F2F2F2" w:themeFill="background1" w:themeFillShade="F2"/>
            <w:vAlign w:val="center"/>
          </w:tcPr>
          <w:p w14:paraId="0020E92D" w14:textId="77777777" w:rsidR="00324E35" w:rsidRPr="00EE3623" w:rsidRDefault="00324E35" w:rsidP="00324E35">
            <w:pPr>
              <w:pStyle w:val="TableText"/>
              <w:jc w:val="right"/>
              <w:rPr>
                <w:lang w:val="en-AU"/>
              </w:rPr>
            </w:pPr>
            <w:r w:rsidRPr="00EE3623">
              <w:rPr>
                <w:lang w:val="en-AU"/>
              </w:rPr>
              <w:t>1.70</w:t>
            </w:r>
          </w:p>
        </w:tc>
      </w:tr>
      <w:tr w:rsidR="00324E35" w:rsidRPr="00EE3623" w14:paraId="7E7C0DB4" w14:textId="77777777" w:rsidTr="006317B6">
        <w:trPr>
          <w:trHeight w:val="20"/>
        </w:trPr>
        <w:tc>
          <w:tcPr>
            <w:tcW w:w="2977" w:type="dxa"/>
            <w:vAlign w:val="center"/>
          </w:tcPr>
          <w:p w14:paraId="0E186E46" w14:textId="77777777" w:rsidR="00324E35" w:rsidRPr="00EE3623" w:rsidRDefault="00324E35" w:rsidP="00324E35">
            <w:pPr>
              <w:pStyle w:val="TableText"/>
              <w:rPr>
                <w:lang w:val="en-AU"/>
              </w:rPr>
            </w:pPr>
            <w:r w:rsidRPr="00EE3623">
              <w:rPr>
                <w:lang w:val="en-AU"/>
              </w:rPr>
              <w:t>Victoria</w:t>
            </w:r>
          </w:p>
        </w:tc>
        <w:tc>
          <w:tcPr>
            <w:tcW w:w="1304" w:type="dxa"/>
            <w:vAlign w:val="center"/>
          </w:tcPr>
          <w:p w14:paraId="5A4B22EC" w14:textId="77777777" w:rsidR="00324E35" w:rsidRPr="00EE3623" w:rsidRDefault="00324E35" w:rsidP="00324E35">
            <w:pPr>
              <w:pStyle w:val="TableText"/>
              <w:jc w:val="right"/>
              <w:rPr>
                <w:b/>
                <w:bCs/>
                <w:lang w:val="en-AU"/>
              </w:rPr>
            </w:pPr>
            <w:r w:rsidRPr="00EE3623">
              <w:rPr>
                <w:b/>
                <w:bCs/>
                <w:lang w:val="en-AU"/>
              </w:rPr>
              <w:t>1.46</w:t>
            </w:r>
          </w:p>
        </w:tc>
        <w:tc>
          <w:tcPr>
            <w:tcW w:w="1304" w:type="dxa"/>
            <w:vAlign w:val="center"/>
          </w:tcPr>
          <w:p w14:paraId="0F87AED6" w14:textId="77777777" w:rsidR="00324E35" w:rsidRPr="00EE3623" w:rsidRDefault="00324E35" w:rsidP="00324E35">
            <w:pPr>
              <w:pStyle w:val="TableText"/>
              <w:jc w:val="right"/>
              <w:rPr>
                <w:b/>
                <w:bCs/>
                <w:lang w:val="en-AU"/>
              </w:rPr>
            </w:pPr>
            <w:r w:rsidRPr="00EE3623">
              <w:rPr>
                <w:b/>
                <w:lang w:val="en-AU"/>
              </w:rPr>
              <w:t>1.31</w:t>
            </w:r>
          </w:p>
        </w:tc>
        <w:tc>
          <w:tcPr>
            <w:tcW w:w="1304" w:type="dxa"/>
            <w:vAlign w:val="center"/>
          </w:tcPr>
          <w:p w14:paraId="634B0388" w14:textId="77777777" w:rsidR="00324E35" w:rsidRPr="00EE3623" w:rsidRDefault="00324E35" w:rsidP="00324E35">
            <w:pPr>
              <w:pStyle w:val="TableText"/>
              <w:jc w:val="right"/>
              <w:rPr>
                <w:lang w:val="en-AU"/>
              </w:rPr>
            </w:pPr>
            <w:r w:rsidRPr="00EE3623">
              <w:rPr>
                <w:lang w:val="en-AU"/>
              </w:rPr>
              <w:t>1.09</w:t>
            </w:r>
          </w:p>
        </w:tc>
        <w:tc>
          <w:tcPr>
            <w:tcW w:w="1304" w:type="dxa"/>
            <w:vAlign w:val="center"/>
          </w:tcPr>
          <w:p w14:paraId="4FD376A9" w14:textId="77777777" w:rsidR="00324E35" w:rsidRPr="00EE3623" w:rsidRDefault="00324E35" w:rsidP="00324E35">
            <w:pPr>
              <w:pStyle w:val="TableText"/>
              <w:jc w:val="right"/>
              <w:rPr>
                <w:lang w:val="en-AU"/>
              </w:rPr>
            </w:pPr>
            <w:r w:rsidRPr="00EE3623">
              <w:rPr>
                <w:lang w:val="en-AU"/>
              </w:rPr>
              <w:t>1.63</w:t>
            </w:r>
          </w:p>
        </w:tc>
      </w:tr>
      <w:tr w:rsidR="00324E35" w:rsidRPr="00EE3623" w14:paraId="4B1D37AA" w14:textId="77777777" w:rsidTr="001D1E1C">
        <w:trPr>
          <w:trHeight w:val="20"/>
        </w:trPr>
        <w:tc>
          <w:tcPr>
            <w:tcW w:w="2977" w:type="dxa"/>
            <w:shd w:val="clear" w:color="auto" w:fill="F2F2F2" w:themeFill="background1" w:themeFillShade="F2"/>
            <w:vAlign w:val="center"/>
          </w:tcPr>
          <w:p w14:paraId="7826AA33" w14:textId="77777777" w:rsidR="00324E35" w:rsidRPr="00EE3623" w:rsidRDefault="00324E35" w:rsidP="00324E35">
            <w:pPr>
              <w:pStyle w:val="TableText"/>
              <w:rPr>
                <w:lang w:val="en-AU"/>
              </w:rPr>
            </w:pPr>
            <w:r w:rsidRPr="00EE3623">
              <w:rPr>
                <w:lang w:val="en-AU"/>
              </w:rPr>
              <w:t>Queensland</w:t>
            </w:r>
          </w:p>
        </w:tc>
        <w:tc>
          <w:tcPr>
            <w:tcW w:w="1304" w:type="dxa"/>
            <w:shd w:val="clear" w:color="auto" w:fill="F2F2F2" w:themeFill="background1" w:themeFillShade="F2"/>
            <w:vAlign w:val="center"/>
          </w:tcPr>
          <w:p w14:paraId="7E5C5172" w14:textId="77777777" w:rsidR="00324E35" w:rsidRPr="00EE3623" w:rsidRDefault="00324E35" w:rsidP="00324E35">
            <w:pPr>
              <w:pStyle w:val="TableText"/>
              <w:jc w:val="right"/>
              <w:rPr>
                <w:b/>
                <w:bCs/>
                <w:lang w:val="en-AU"/>
              </w:rPr>
            </w:pPr>
            <w:r w:rsidRPr="00EE3623">
              <w:rPr>
                <w:b/>
                <w:bCs/>
                <w:lang w:val="en-AU"/>
              </w:rPr>
              <w:t>1.51</w:t>
            </w:r>
          </w:p>
        </w:tc>
        <w:tc>
          <w:tcPr>
            <w:tcW w:w="1304" w:type="dxa"/>
            <w:shd w:val="clear" w:color="auto" w:fill="F2F2F2" w:themeFill="background1" w:themeFillShade="F2"/>
            <w:vAlign w:val="center"/>
          </w:tcPr>
          <w:p w14:paraId="36AD8A69" w14:textId="77777777" w:rsidR="00324E35" w:rsidRPr="00EE3623" w:rsidRDefault="00324E35" w:rsidP="00324E35">
            <w:pPr>
              <w:pStyle w:val="TableText"/>
              <w:jc w:val="right"/>
              <w:rPr>
                <w:b/>
                <w:bCs/>
                <w:lang w:val="en-AU"/>
              </w:rPr>
            </w:pPr>
            <w:r w:rsidRPr="00EE3623">
              <w:rPr>
                <w:b/>
                <w:lang w:val="en-AU"/>
              </w:rPr>
              <w:t>1.35</w:t>
            </w:r>
          </w:p>
        </w:tc>
        <w:tc>
          <w:tcPr>
            <w:tcW w:w="1304" w:type="dxa"/>
            <w:shd w:val="clear" w:color="auto" w:fill="F2F2F2" w:themeFill="background1" w:themeFillShade="F2"/>
            <w:vAlign w:val="center"/>
          </w:tcPr>
          <w:p w14:paraId="3AA3ABB2" w14:textId="77777777" w:rsidR="00324E35" w:rsidRPr="00EE3623" w:rsidRDefault="00324E35" w:rsidP="00324E35">
            <w:pPr>
              <w:pStyle w:val="TableText"/>
              <w:jc w:val="right"/>
              <w:rPr>
                <w:lang w:val="en-AU"/>
              </w:rPr>
            </w:pPr>
            <w:r w:rsidRPr="00EE3623">
              <w:rPr>
                <w:lang w:val="en-AU"/>
              </w:rPr>
              <w:t>1.09</w:t>
            </w:r>
          </w:p>
        </w:tc>
        <w:tc>
          <w:tcPr>
            <w:tcW w:w="1304" w:type="dxa"/>
            <w:shd w:val="clear" w:color="auto" w:fill="F2F2F2" w:themeFill="background1" w:themeFillShade="F2"/>
            <w:vAlign w:val="center"/>
          </w:tcPr>
          <w:p w14:paraId="33FEA56E" w14:textId="77777777" w:rsidR="00324E35" w:rsidRPr="00EE3623" w:rsidRDefault="00324E35" w:rsidP="00324E35">
            <w:pPr>
              <w:pStyle w:val="TableText"/>
              <w:jc w:val="right"/>
              <w:rPr>
                <w:lang w:val="en-AU"/>
              </w:rPr>
            </w:pPr>
            <w:r w:rsidRPr="00EE3623">
              <w:rPr>
                <w:lang w:val="en-AU"/>
              </w:rPr>
              <w:t>1.69</w:t>
            </w:r>
          </w:p>
        </w:tc>
      </w:tr>
      <w:tr w:rsidR="00324E35" w:rsidRPr="00EE3623" w14:paraId="5156E310" w14:textId="77777777" w:rsidTr="006317B6">
        <w:trPr>
          <w:trHeight w:val="400"/>
        </w:trPr>
        <w:tc>
          <w:tcPr>
            <w:tcW w:w="2977" w:type="dxa"/>
            <w:vAlign w:val="center"/>
          </w:tcPr>
          <w:p w14:paraId="3AED5245" w14:textId="77777777" w:rsidR="00324E35" w:rsidRPr="00EE3623" w:rsidRDefault="00324E35" w:rsidP="00324E35">
            <w:pPr>
              <w:pStyle w:val="TableText"/>
              <w:rPr>
                <w:lang w:val="en-AU"/>
              </w:rPr>
            </w:pPr>
            <w:r w:rsidRPr="00EE3623">
              <w:rPr>
                <w:lang w:val="en-AU"/>
              </w:rPr>
              <w:t>South Australia</w:t>
            </w:r>
          </w:p>
        </w:tc>
        <w:tc>
          <w:tcPr>
            <w:tcW w:w="1304" w:type="dxa"/>
            <w:vAlign w:val="center"/>
          </w:tcPr>
          <w:p w14:paraId="3D79EEEB" w14:textId="77777777" w:rsidR="00324E35" w:rsidRPr="00EE3623" w:rsidRDefault="00324E35" w:rsidP="00324E35">
            <w:pPr>
              <w:pStyle w:val="TableText"/>
              <w:jc w:val="right"/>
              <w:rPr>
                <w:b/>
                <w:bCs/>
                <w:lang w:val="en-AU"/>
              </w:rPr>
            </w:pPr>
            <w:r w:rsidRPr="00EE3623">
              <w:rPr>
                <w:b/>
                <w:bCs/>
                <w:lang w:val="en-AU"/>
              </w:rPr>
              <w:t>1.55</w:t>
            </w:r>
          </w:p>
        </w:tc>
        <w:tc>
          <w:tcPr>
            <w:tcW w:w="1304" w:type="dxa"/>
            <w:vAlign w:val="center"/>
          </w:tcPr>
          <w:p w14:paraId="09CF7CA6" w14:textId="77777777" w:rsidR="00324E35" w:rsidRPr="00EE3623" w:rsidRDefault="00324E35" w:rsidP="00324E35">
            <w:pPr>
              <w:pStyle w:val="TableText"/>
              <w:jc w:val="right"/>
              <w:rPr>
                <w:b/>
                <w:bCs/>
                <w:lang w:val="en-AU"/>
              </w:rPr>
            </w:pPr>
            <w:r w:rsidRPr="00EE3623">
              <w:rPr>
                <w:b/>
                <w:lang w:val="en-AU"/>
              </w:rPr>
              <w:t>1.31</w:t>
            </w:r>
          </w:p>
        </w:tc>
        <w:tc>
          <w:tcPr>
            <w:tcW w:w="1304" w:type="dxa"/>
            <w:vAlign w:val="center"/>
          </w:tcPr>
          <w:p w14:paraId="77EDA685" w14:textId="77777777" w:rsidR="00324E35" w:rsidRPr="00EE3623" w:rsidRDefault="00324E35" w:rsidP="00324E35">
            <w:pPr>
              <w:pStyle w:val="TableText"/>
              <w:jc w:val="right"/>
              <w:rPr>
                <w:lang w:val="en-AU"/>
              </w:rPr>
            </w:pPr>
            <w:r w:rsidRPr="00EE3623">
              <w:rPr>
                <w:lang w:val="en-AU"/>
              </w:rPr>
              <w:t>1.07</w:t>
            </w:r>
          </w:p>
        </w:tc>
        <w:tc>
          <w:tcPr>
            <w:tcW w:w="1304" w:type="dxa"/>
            <w:vAlign w:val="center"/>
          </w:tcPr>
          <w:p w14:paraId="731A41B0" w14:textId="77777777" w:rsidR="00324E35" w:rsidRPr="00EE3623" w:rsidRDefault="00324E35" w:rsidP="00324E35">
            <w:pPr>
              <w:pStyle w:val="TableText"/>
              <w:jc w:val="right"/>
              <w:rPr>
                <w:lang w:val="en-AU"/>
              </w:rPr>
            </w:pPr>
            <w:r w:rsidRPr="00EE3623">
              <w:rPr>
                <w:lang w:val="en-AU"/>
              </w:rPr>
              <w:t>1.65</w:t>
            </w:r>
          </w:p>
        </w:tc>
      </w:tr>
      <w:tr w:rsidR="00324E35" w:rsidRPr="00EE3623" w14:paraId="76E40DEA" w14:textId="77777777" w:rsidTr="001D1E1C">
        <w:trPr>
          <w:trHeight w:val="20"/>
        </w:trPr>
        <w:tc>
          <w:tcPr>
            <w:tcW w:w="2977" w:type="dxa"/>
            <w:shd w:val="clear" w:color="auto" w:fill="F2F2F2" w:themeFill="background1" w:themeFillShade="F2"/>
            <w:vAlign w:val="center"/>
          </w:tcPr>
          <w:p w14:paraId="0D51CCD5" w14:textId="77777777" w:rsidR="00324E35" w:rsidRPr="00EE3623" w:rsidRDefault="00324E35" w:rsidP="00324E35">
            <w:pPr>
              <w:pStyle w:val="TableText"/>
              <w:rPr>
                <w:lang w:val="en-AU"/>
              </w:rPr>
            </w:pPr>
            <w:r w:rsidRPr="00EE3623">
              <w:rPr>
                <w:lang w:val="en-AU"/>
              </w:rPr>
              <w:t>Western Australia</w:t>
            </w:r>
          </w:p>
        </w:tc>
        <w:tc>
          <w:tcPr>
            <w:tcW w:w="1304" w:type="dxa"/>
            <w:shd w:val="clear" w:color="auto" w:fill="F2F2F2" w:themeFill="background1" w:themeFillShade="F2"/>
            <w:vAlign w:val="center"/>
          </w:tcPr>
          <w:p w14:paraId="162BD010" w14:textId="77777777" w:rsidR="00324E35" w:rsidRPr="00EE3623" w:rsidRDefault="00324E35" w:rsidP="00324E35">
            <w:pPr>
              <w:pStyle w:val="TableText"/>
              <w:jc w:val="right"/>
              <w:rPr>
                <w:b/>
                <w:bCs/>
                <w:lang w:val="en-AU"/>
              </w:rPr>
            </w:pPr>
            <w:r w:rsidRPr="00EE3623">
              <w:rPr>
                <w:b/>
                <w:bCs/>
                <w:lang w:val="en-AU"/>
              </w:rPr>
              <w:t>1.49</w:t>
            </w:r>
          </w:p>
        </w:tc>
        <w:tc>
          <w:tcPr>
            <w:tcW w:w="1304" w:type="dxa"/>
            <w:shd w:val="clear" w:color="auto" w:fill="F2F2F2" w:themeFill="background1" w:themeFillShade="F2"/>
            <w:vAlign w:val="center"/>
          </w:tcPr>
          <w:p w14:paraId="29D9B0A2" w14:textId="77777777" w:rsidR="00324E35" w:rsidRPr="00EE3623" w:rsidRDefault="00324E35" w:rsidP="00324E35">
            <w:pPr>
              <w:pStyle w:val="TableText"/>
              <w:jc w:val="right"/>
              <w:rPr>
                <w:b/>
                <w:bCs/>
                <w:lang w:val="en-AU"/>
              </w:rPr>
            </w:pPr>
            <w:r w:rsidRPr="00EE3623">
              <w:rPr>
                <w:b/>
                <w:lang w:val="en-AU"/>
              </w:rPr>
              <w:t>1.</w:t>
            </w:r>
            <w:r w:rsidRPr="00EE3623">
              <w:rPr>
                <w:b/>
                <w:bCs/>
                <w:lang w:val="en-AU"/>
              </w:rPr>
              <w:t>36</w:t>
            </w:r>
          </w:p>
        </w:tc>
        <w:tc>
          <w:tcPr>
            <w:tcW w:w="1304" w:type="dxa"/>
            <w:shd w:val="clear" w:color="auto" w:fill="F2F2F2" w:themeFill="background1" w:themeFillShade="F2"/>
            <w:vAlign w:val="center"/>
          </w:tcPr>
          <w:p w14:paraId="1F5A00E2" w14:textId="77777777" w:rsidR="00324E35" w:rsidRPr="00EE3623" w:rsidRDefault="00324E35" w:rsidP="00324E35">
            <w:pPr>
              <w:pStyle w:val="TableText"/>
              <w:jc w:val="right"/>
              <w:rPr>
                <w:lang w:val="en-AU"/>
              </w:rPr>
            </w:pPr>
            <w:r w:rsidRPr="00EE3623">
              <w:rPr>
                <w:lang w:val="en-AU"/>
              </w:rPr>
              <w:t>1.10</w:t>
            </w:r>
          </w:p>
        </w:tc>
        <w:tc>
          <w:tcPr>
            <w:tcW w:w="1304" w:type="dxa"/>
            <w:shd w:val="clear" w:color="auto" w:fill="F2F2F2" w:themeFill="background1" w:themeFillShade="F2"/>
            <w:vAlign w:val="center"/>
          </w:tcPr>
          <w:p w14:paraId="5AE0A342" w14:textId="77777777" w:rsidR="00324E35" w:rsidRPr="00EE3623" w:rsidRDefault="00324E35" w:rsidP="00324E35">
            <w:pPr>
              <w:pStyle w:val="TableText"/>
              <w:jc w:val="right"/>
              <w:rPr>
                <w:lang w:val="en-AU"/>
              </w:rPr>
            </w:pPr>
            <w:r w:rsidRPr="00EE3623">
              <w:rPr>
                <w:lang w:val="en-AU"/>
              </w:rPr>
              <w:t>1.69</w:t>
            </w:r>
          </w:p>
        </w:tc>
      </w:tr>
      <w:tr w:rsidR="00324E35" w:rsidRPr="00EE3623" w14:paraId="525D0BC4" w14:textId="77777777" w:rsidTr="006317B6">
        <w:trPr>
          <w:trHeight w:val="20"/>
        </w:trPr>
        <w:tc>
          <w:tcPr>
            <w:tcW w:w="2977" w:type="dxa"/>
            <w:vAlign w:val="center"/>
          </w:tcPr>
          <w:p w14:paraId="25F6BC46" w14:textId="77777777" w:rsidR="00324E35" w:rsidRPr="00EE3623" w:rsidRDefault="00324E35" w:rsidP="00324E35">
            <w:pPr>
              <w:pStyle w:val="TableText"/>
              <w:rPr>
                <w:lang w:val="en-AU"/>
              </w:rPr>
            </w:pPr>
            <w:r w:rsidRPr="00EE3623">
              <w:rPr>
                <w:lang w:val="en-AU"/>
              </w:rPr>
              <w:t>Tasmania</w:t>
            </w:r>
          </w:p>
        </w:tc>
        <w:tc>
          <w:tcPr>
            <w:tcW w:w="1304" w:type="dxa"/>
            <w:vAlign w:val="center"/>
          </w:tcPr>
          <w:p w14:paraId="05A1A36C" w14:textId="77777777" w:rsidR="00324E35" w:rsidRPr="00EE3623" w:rsidRDefault="00324E35" w:rsidP="00324E35">
            <w:pPr>
              <w:pStyle w:val="TableText"/>
              <w:jc w:val="right"/>
              <w:rPr>
                <w:b/>
                <w:bCs/>
                <w:lang w:val="en-AU"/>
              </w:rPr>
            </w:pPr>
            <w:r w:rsidRPr="00EE3623">
              <w:rPr>
                <w:b/>
                <w:bCs/>
                <w:lang w:val="en-AU"/>
              </w:rPr>
              <w:t>1.50</w:t>
            </w:r>
          </w:p>
        </w:tc>
        <w:tc>
          <w:tcPr>
            <w:tcW w:w="1304" w:type="dxa"/>
            <w:vAlign w:val="center"/>
          </w:tcPr>
          <w:p w14:paraId="25071F7B" w14:textId="77777777" w:rsidR="00324E35" w:rsidRPr="00EE3623" w:rsidRDefault="00324E35" w:rsidP="00324E35">
            <w:pPr>
              <w:pStyle w:val="TableText"/>
              <w:jc w:val="right"/>
              <w:rPr>
                <w:b/>
                <w:bCs/>
                <w:lang w:val="en-AU"/>
              </w:rPr>
            </w:pPr>
            <w:r w:rsidRPr="00EE3623">
              <w:rPr>
                <w:b/>
                <w:lang w:val="en-AU"/>
              </w:rPr>
              <w:t>1.</w:t>
            </w:r>
            <w:r w:rsidRPr="00EE3623">
              <w:rPr>
                <w:b/>
                <w:bCs/>
                <w:lang w:val="en-AU"/>
              </w:rPr>
              <w:t>36</w:t>
            </w:r>
          </w:p>
        </w:tc>
        <w:tc>
          <w:tcPr>
            <w:tcW w:w="1304" w:type="dxa"/>
            <w:vAlign w:val="center"/>
          </w:tcPr>
          <w:p w14:paraId="1D4F82D5" w14:textId="77777777" w:rsidR="00324E35" w:rsidRPr="00EE3623" w:rsidRDefault="00324E35" w:rsidP="00324E35">
            <w:pPr>
              <w:pStyle w:val="TableText"/>
              <w:jc w:val="right"/>
              <w:rPr>
                <w:lang w:val="en-AU"/>
              </w:rPr>
            </w:pPr>
            <w:r w:rsidRPr="00EE3623">
              <w:rPr>
                <w:lang w:val="en-AU"/>
              </w:rPr>
              <w:t>1.09</w:t>
            </w:r>
          </w:p>
        </w:tc>
        <w:tc>
          <w:tcPr>
            <w:tcW w:w="1304" w:type="dxa"/>
            <w:vAlign w:val="center"/>
          </w:tcPr>
          <w:p w14:paraId="0E5AF45B" w14:textId="77777777" w:rsidR="00324E35" w:rsidRPr="00EE3623" w:rsidRDefault="00324E35" w:rsidP="00324E35">
            <w:pPr>
              <w:pStyle w:val="TableText"/>
              <w:jc w:val="right"/>
              <w:rPr>
                <w:lang w:val="en-AU"/>
              </w:rPr>
            </w:pPr>
            <w:r w:rsidRPr="00EE3623">
              <w:rPr>
                <w:lang w:val="en-AU"/>
              </w:rPr>
              <w:t>1.69</w:t>
            </w:r>
          </w:p>
        </w:tc>
      </w:tr>
      <w:tr w:rsidR="00324E35" w:rsidRPr="00EE3623" w14:paraId="2C4B5306" w14:textId="77777777" w:rsidTr="001D1E1C">
        <w:trPr>
          <w:trHeight w:val="20"/>
        </w:trPr>
        <w:tc>
          <w:tcPr>
            <w:tcW w:w="2977" w:type="dxa"/>
            <w:shd w:val="clear" w:color="auto" w:fill="F2F2F2" w:themeFill="background1" w:themeFillShade="F2"/>
            <w:vAlign w:val="center"/>
          </w:tcPr>
          <w:p w14:paraId="56994DB2" w14:textId="77777777" w:rsidR="00324E35" w:rsidRPr="00EE3623" w:rsidRDefault="00324E35" w:rsidP="00324E35">
            <w:pPr>
              <w:pStyle w:val="TableText"/>
              <w:rPr>
                <w:lang w:val="en-AU"/>
              </w:rPr>
            </w:pPr>
            <w:r w:rsidRPr="00EE3623">
              <w:rPr>
                <w:lang w:val="en-AU"/>
              </w:rPr>
              <w:t>Northern Territory</w:t>
            </w:r>
          </w:p>
        </w:tc>
        <w:tc>
          <w:tcPr>
            <w:tcW w:w="1304" w:type="dxa"/>
            <w:shd w:val="clear" w:color="auto" w:fill="F2F2F2" w:themeFill="background1" w:themeFillShade="F2"/>
            <w:vAlign w:val="center"/>
          </w:tcPr>
          <w:p w14:paraId="52468A4B" w14:textId="77777777" w:rsidR="00324E35" w:rsidRPr="00EE3623" w:rsidRDefault="00324E35" w:rsidP="00324E35">
            <w:pPr>
              <w:pStyle w:val="TableText"/>
              <w:jc w:val="right"/>
              <w:rPr>
                <w:b/>
                <w:bCs/>
                <w:lang w:val="en-AU"/>
              </w:rPr>
            </w:pPr>
            <w:r w:rsidRPr="00EE3623">
              <w:rPr>
                <w:b/>
                <w:bCs/>
                <w:lang w:val="en-AU"/>
              </w:rPr>
              <w:t>1.60</w:t>
            </w:r>
          </w:p>
        </w:tc>
        <w:tc>
          <w:tcPr>
            <w:tcW w:w="1304" w:type="dxa"/>
            <w:shd w:val="clear" w:color="auto" w:fill="F2F2F2" w:themeFill="background1" w:themeFillShade="F2"/>
            <w:vAlign w:val="center"/>
          </w:tcPr>
          <w:p w14:paraId="773436E9" w14:textId="77777777" w:rsidR="00324E35" w:rsidRPr="00EE3623" w:rsidRDefault="00324E35" w:rsidP="00324E35">
            <w:pPr>
              <w:pStyle w:val="TableText"/>
              <w:jc w:val="right"/>
              <w:rPr>
                <w:b/>
                <w:bCs/>
                <w:lang w:val="en-AU"/>
              </w:rPr>
            </w:pPr>
            <w:r w:rsidRPr="00EE3623">
              <w:rPr>
                <w:b/>
                <w:lang w:val="en-AU"/>
              </w:rPr>
              <w:t>1.44</w:t>
            </w:r>
          </w:p>
        </w:tc>
        <w:tc>
          <w:tcPr>
            <w:tcW w:w="1304" w:type="dxa"/>
            <w:shd w:val="clear" w:color="auto" w:fill="F2F2F2" w:themeFill="background1" w:themeFillShade="F2"/>
            <w:vAlign w:val="center"/>
          </w:tcPr>
          <w:p w14:paraId="292B766B" w14:textId="77777777" w:rsidR="00324E35" w:rsidRPr="00EE3623" w:rsidRDefault="00324E35" w:rsidP="00324E35">
            <w:pPr>
              <w:pStyle w:val="TableText"/>
              <w:jc w:val="right"/>
              <w:rPr>
                <w:lang w:val="en-AU"/>
              </w:rPr>
            </w:pPr>
            <w:r w:rsidRPr="00EE3623">
              <w:rPr>
                <w:lang w:val="en-AU"/>
              </w:rPr>
              <w:t>1.17</w:t>
            </w:r>
          </w:p>
        </w:tc>
        <w:tc>
          <w:tcPr>
            <w:tcW w:w="1304" w:type="dxa"/>
            <w:shd w:val="clear" w:color="auto" w:fill="F2F2F2" w:themeFill="background1" w:themeFillShade="F2"/>
            <w:vAlign w:val="center"/>
          </w:tcPr>
          <w:p w14:paraId="036A9E66" w14:textId="77777777" w:rsidR="00324E35" w:rsidRPr="00EE3623" w:rsidRDefault="00324E35" w:rsidP="00324E35">
            <w:pPr>
              <w:pStyle w:val="TableText"/>
              <w:jc w:val="right"/>
              <w:rPr>
                <w:lang w:val="en-AU"/>
              </w:rPr>
            </w:pPr>
            <w:r w:rsidRPr="00EE3623">
              <w:rPr>
                <w:lang w:val="en-AU"/>
              </w:rPr>
              <w:t>1.75</w:t>
            </w:r>
          </w:p>
        </w:tc>
      </w:tr>
      <w:tr w:rsidR="00324E35" w:rsidRPr="00EE3623" w14:paraId="4A1EC78E" w14:textId="77777777" w:rsidTr="006317B6">
        <w:trPr>
          <w:trHeight w:val="20"/>
        </w:trPr>
        <w:tc>
          <w:tcPr>
            <w:tcW w:w="2977" w:type="dxa"/>
            <w:tcBorders>
              <w:bottom w:val="single" w:sz="4" w:space="0" w:color="auto"/>
            </w:tcBorders>
            <w:vAlign w:val="center"/>
          </w:tcPr>
          <w:p w14:paraId="60BCC7D9" w14:textId="77777777" w:rsidR="00324E35" w:rsidRPr="00EE3623" w:rsidRDefault="00324E35" w:rsidP="00324E35">
            <w:pPr>
              <w:pStyle w:val="TableText"/>
              <w:rPr>
                <w:lang w:val="en-AU"/>
              </w:rPr>
            </w:pPr>
            <w:r w:rsidRPr="00EE3623">
              <w:rPr>
                <w:lang w:val="en-AU"/>
              </w:rPr>
              <w:t xml:space="preserve">Australian Capital Territory </w:t>
            </w:r>
          </w:p>
        </w:tc>
        <w:tc>
          <w:tcPr>
            <w:tcW w:w="1304" w:type="dxa"/>
            <w:tcBorders>
              <w:bottom w:val="single" w:sz="4" w:space="0" w:color="auto"/>
            </w:tcBorders>
            <w:vAlign w:val="center"/>
          </w:tcPr>
          <w:p w14:paraId="454BB24A" w14:textId="77777777" w:rsidR="00324E35" w:rsidRPr="00EE3623" w:rsidRDefault="00324E35" w:rsidP="00324E35">
            <w:pPr>
              <w:pStyle w:val="TableText"/>
              <w:jc w:val="right"/>
              <w:rPr>
                <w:b/>
                <w:bCs/>
                <w:lang w:val="en-AU"/>
              </w:rPr>
            </w:pPr>
            <w:r w:rsidRPr="00EE3623">
              <w:rPr>
                <w:b/>
                <w:bCs/>
                <w:lang w:val="en-AU"/>
              </w:rPr>
              <w:t>1.26</w:t>
            </w:r>
          </w:p>
        </w:tc>
        <w:tc>
          <w:tcPr>
            <w:tcW w:w="1304" w:type="dxa"/>
            <w:tcBorders>
              <w:bottom w:val="single" w:sz="4" w:space="0" w:color="auto"/>
            </w:tcBorders>
            <w:vAlign w:val="center"/>
          </w:tcPr>
          <w:p w14:paraId="04038E4A" w14:textId="77777777" w:rsidR="00324E35" w:rsidRPr="00EE3623" w:rsidRDefault="00324E35" w:rsidP="00324E35">
            <w:pPr>
              <w:pStyle w:val="TableText"/>
              <w:jc w:val="right"/>
              <w:rPr>
                <w:b/>
                <w:bCs/>
                <w:lang w:val="en-AU"/>
              </w:rPr>
            </w:pPr>
            <w:r w:rsidRPr="00EE3623">
              <w:rPr>
                <w:b/>
                <w:lang w:val="en-AU"/>
              </w:rPr>
              <w:t>1.23</w:t>
            </w:r>
          </w:p>
        </w:tc>
        <w:tc>
          <w:tcPr>
            <w:tcW w:w="1304" w:type="dxa"/>
            <w:tcBorders>
              <w:bottom w:val="single" w:sz="4" w:space="0" w:color="auto"/>
            </w:tcBorders>
            <w:vAlign w:val="center"/>
          </w:tcPr>
          <w:p w14:paraId="1776525A" w14:textId="77777777" w:rsidR="00324E35" w:rsidRPr="00EE3623" w:rsidRDefault="00324E35" w:rsidP="00324E35">
            <w:pPr>
              <w:pStyle w:val="TableText"/>
              <w:jc w:val="right"/>
              <w:rPr>
                <w:lang w:val="en-AU"/>
              </w:rPr>
            </w:pPr>
            <w:r w:rsidRPr="00EE3623">
              <w:rPr>
                <w:lang w:val="en-AU"/>
              </w:rPr>
              <w:t>1.09</w:t>
            </w:r>
          </w:p>
        </w:tc>
        <w:tc>
          <w:tcPr>
            <w:tcW w:w="1304" w:type="dxa"/>
            <w:tcBorders>
              <w:bottom w:val="single" w:sz="4" w:space="0" w:color="auto"/>
            </w:tcBorders>
            <w:vAlign w:val="center"/>
          </w:tcPr>
          <w:p w14:paraId="3141F347" w14:textId="77777777" w:rsidR="00324E35" w:rsidRPr="00EE3623" w:rsidRDefault="00324E35" w:rsidP="00324E35">
            <w:pPr>
              <w:pStyle w:val="TableText"/>
              <w:jc w:val="right"/>
              <w:rPr>
                <w:lang w:val="en-AU"/>
              </w:rPr>
            </w:pPr>
            <w:r w:rsidRPr="00EE3623">
              <w:rPr>
                <w:lang w:val="en-AU"/>
              </w:rPr>
              <w:t>1.53</w:t>
            </w:r>
          </w:p>
        </w:tc>
      </w:tr>
    </w:tbl>
    <w:p w14:paraId="6A2FD305" w14:textId="71C42364" w:rsidR="00A93C63" w:rsidRPr="00EE3623" w:rsidRDefault="00A93C63" w:rsidP="001A446B">
      <w:pPr>
        <w:pStyle w:val="Source"/>
      </w:pPr>
      <w:r w:rsidRPr="00EE3623">
        <w:t>Source: Data for 2023</w:t>
      </w:r>
      <w:r w:rsidR="0071623D" w:rsidRPr="0071623D">
        <w:t>–</w:t>
      </w:r>
      <w:r w:rsidRPr="00EE3623">
        <w:t>24 supplied by Centre for Population.</w:t>
      </w:r>
    </w:p>
    <w:p w14:paraId="189D4B23" w14:textId="532275A3" w:rsidR="004059A6" w:rsidRPr="00EE3623" w:rsidRDefault="004059A6" w:rsidP="00B1119B">
      <w:pPr>
        <w:pStyle w:val="Heading2"/>
      </w:pPr>
      <w:r w:rsidRPr="00EE3623">
        <w:t>Greater Capital City Statistical Area</w:t>
      </w:r>
    </w:p>
    <w:p w14:paraId="6A9FDABF" w14:textId="0FCEA141" w:rsidR="00471BC1" w:rsidRPr="00EE3623" w:rsidRDefault="00AA6FB6" w:rsidP="00AA6FB6">
      <w:r w:rsidRPr="00EE3623">
        <w:t>For each State/Territory, fertility was further projected by Greater Capital City</w:t>
      </w:r>
      <w:r w:rsidR="00AB6FA3" w:rsidRPr="00EE3623">
        <w:t xml:space="preserve"> Statistical</w:t>
      </w:r>
      <w:r w:rsidRPr="00EE3623">
        <w:t xml:space="preserve"> Area (GCCSA). The GCCSA is a geographical boundary defined by the Australian Statistical Geography Standard (ASGS) that groups each State/Territory (except the Australian Capital Territory) into two areas: one that represents the greater capital city area and one that represents the rest of the State/Territory</w:t>
      </w:r>
      <w:r w:rsidR="0067071A" w:rsidRPr="00EE3623">
        <w:t xml:space="preserve">. </w:t>
      </w:r>
      <w:r w:rsidRPr="00EE3623">
        <w:t>The GCCSA is designed to capture not only the population living in the immediate city area</w:t>
      </w:r>
      <w:r w:rsidR="00D71DBD" w:rsidRPr="00EE3623">
        <w:t>,</w:t>
      </w:r>
      <w:r w:rsidRPr="00EE3623">
        <w:t xml:space="preserve"> but also those who live in smaller towns or areas around a capital city but regularly visit the city for work or other reasons (Australian Bureau of Statistics 2021</w:t>
      </w:r>
      <w:r w:rsidR="009C3C8A" w:rsidRPr="00EE3623">
        <w:t>a</w:t>
      </w:r>
      <w:r w:rsidRPr="00EE3623">
        <w:t xml:space="preserve">). </w:t>
      </w:r>
    </w:p>
    <w:p w14:paraId="0F875778" w14:textId="3362C189" w:rsidR="00BC6A83" w:rsidRPr="00EE3623" w:rsidRDefault="00BC6A83" w:rsidP="00AA6FB6">
      <w:r w:rsidRPr="00EE3623">
        <w:t>Historically</w:t>
      </w:r>
      <w:r w:rsidR="00147664" w:rsidRPr="00EE3623">
        <w:t xml:space="preserve"> in all States and Territories,</w:t>
      </w:r>
      <w:r w:rsidRPr="00EE3623">
        <w:t xml:space="preserve"> fertility rates have been higher </w:t>
      </w:r>
      <w:r w:rsidR="00147664" w:rsidRPr="00EE3623">
        <w:t>outside of the Capital City Statistical Areas</w:t>
      </w:r>
      <w:r w:rsidR="00F87E68" w:rsidRPr="00EE3623">
        <w:t xml:space="preserve">, although there are differences across States and Territories in </w:t>
      </w:r>
      <w:r w:rsidR="006746C8" w:rsidRPr="00EE3623">
        <w:t xml:space="preserve">the extent of the difference. For example, the difference between Melbourne and the rest of the </w:t>
      </w:r>
      <w:r w:rsidR="009867FF" w:rsidRPr="00EE3623">
        <w:t>Victoria has typically been significantly higher than the difference between Brisbane and the rest of Queensland</w:t>
      </w:r>
      <w:r w:rsidR="00526AA1" w:rsidRPr="00EE3623">
        <w:t>, or Darwin and the rest of the Northern Territory</w:t>
      </w:r>
      <w:r w:rsidR="009867FF" w:rsidRPr="00EE3623">
        <w:t xml:space="preserve">. </w:t>
      </w:r>
    </w:p>
    <w:p w14:paraId="02D293DC" w14:textId="1DE0535C" w:rsidR="008508D2" w:rsidRPr="00EE3623" w:rsidRDefault="00D8743C" w:rsidP="008508D2">
      <w:r w:rsidRPr="00EE3623">
        <w:lastRenderedPageBreak/>
        <w:t xml:space="preserve">Figure </w:t>
      </w:r>
      <w:r w:rsidR="0067071A" w:rsidRPr="00EE3623">
        <w:t xml:space="preserve">S6 </w:t>
      </w:r>
      <w:r w:rsidR="005C46A4" w:rsidRPr="00EE3623">
        <w:t xml:space="preserve">shows the historical </w:t>
      </w:r>
      <w:r w:rsidR="0083484B" w:rsidRPr="00EE3623">
        <w:t xml:space="preserve">differentials in </w:t>
      </w:r>
      <w:r w:rsidRPr="00EE3623">
        <w:t xml:space="preserve">TFR for </w:t>
      </w:r>
      <w:r w:rsidR="00FD6913" w:rsidRPr="00EE3623">
        <w:t xml:space="preserve">the Greater Capital City areas and </w:t>
      </w:r>
      <w:r w:rsidR="008227E5" w:rsidRPr="00EE3623">
        <w:t xml:space="preserve">the </w:t>
      </w:r>
      <w:r w:rsidR="00FD6913" w:rsidRPr="00EE3623">
        <w:t xml:space="preserve">rest of state from </w:t>
      </w:r>
      <w:r w:rsidR="00255D8F" w:rsidRPr="00EE3623">
        <w:t>20</w:t>
      </w:r>
      <w:r w:rsidR="00375CE2" w:rsidRPr="00EE3623">
        <w:t>0</w:t>
      </w:r>
      <w:r w:rsidR="00255D8F" w:rsidRPr="00EE3623">
        <w:t>2</w:t>
      </w:r>
      <w:r w:rsidR="0071623D" w:rsidRPr="0071623D">
        <w:t>–</w:t>
      </w:r>
      <w:r w:rsidR="00375CE2" w:rsidRPr="00EE3623">
        <w:t>0</w:t>
      </w:r>
      <w:r w:rsidR="00255D8F" w:rsidRPr="00EE3623">
        <w:t>3 through 202</w:t>
      </w:r>
      <w:r w:rsidR="00375CE2" w:rsidRPr="00EE3623">
        <w:t>2</w:t>
      </w:r>
      <w:r w:rsidR="0071623D" w:rsidRPr="0071623D">
        <w:t>–</w:t>
      </w:r>
      <w:r w:rsidR="00255D8F" w:rsidRPr="00EE3623">
        <w:t>2</w:t>
      </w:r>
      <w:r w:rsidR="00375CE2" w:rsidRPr="00EE3623">
        <w:t>3</w:t>
      </w:r>
      <w:r w:rsidR="0083484B" w:rsidRPr="00EE3623">
        <w:t xml:space="preserve"> as well as the project</w:t>
      </w:r>
      <w:r w:rsidR="00213D3B" w:rsidRPr="00EE3623">
        <w:t>ions up to 2065</w:t>
      </w:r>
      <w:r w:rsidR="0071623D" w:rsidRPr="0071623D">
        <w:t>–</w:t>
      </w:r>
      <w:r w:rsidR="00213D3B" w:rsidRPr="00EE3623">
        <w:t>66</w:t>
      </w:r>
      <w:r w:rsidR="00375CE2" w:rsidRPr="00EE3623">
        <w:t xml:space="preserve">. In most states, </w:t>
      </w:r>
      <w:r w:rsidR="00C76F59" w:rsidRPr="00EE3623">
        <w:t xml:space="preserve">the </w:t>
      </w:r>
      <w:r w:rsidR="00213D3B" w:rsidRPr="00EE3623">
        <w:t xml:space="preserve">historical </w:t>
      </w:r>
      <w:r w:rsidR="00C76F59" w:rsidRPr="00EE3623">
        <w:t>lines</w:t>
      </w:r>
      <w:r w:rsidR="009E583A" w:rsidRPr="00EE3623">
        <w:t xml:space="preserve"> have either shown a steady parallel trend for Capital City areas and the rest of state, or a slow convergence</w:t>
      </w:r>
      <w:r w:rsidR="00B91BE4" w:rsidRPr="00EE3623">
        <w:t xml:space="preserve">. </w:t>
      </w:r>
      <w:r w:rsidR="00AB7C2A" w:rsidRPr="00EE3623">
        <w:t xml:space="preserve">An exception is </w:t>
      </w:r>
      <w:r w:rsidR="00736C29" w:rsidRPr="00EE3623">
        <w:t xml:space="preserve">Tasmania, </w:t>
      </w:r>
      <w:r w:rsidR="00AB7C2A" w:rsidRPr="00EE3623">
        <w:t xml:space="preserve">where there is some evidence of a </w:t>
      </w:r>
      <w:r w:rsidR="006D05A7" w:rsidRPr="00EE3623">
        <w:t xml:space="preserve">growing </w:t>
      </w:r>
      <w:r w:rsidR="000249FC" w:rsidRPr="00EE3623">
        <w:t>g</w:t>
      </w:r>
      <w:r w:rsidR="006D05A7" w:rsidRPr="00EE3623">
        <w:t>ap between the capital city and rest of state</w:t>
      </w:r>
      <w:r w:rsidR="000249FC" w:rsidRPr="00EE3623">
        <w:t xml:space="preserve"> since 2016</w:t>
      </w:r>
      <w:r w:rsidR="0071623D" w:rsidRPr="0071623D">
        <w:t>–</w:t>
      </w:r>
      <w:r w:rsidR="000249FC" w:rsidRPr="00EE3623">
        <w:t>17.</w:t>
      </w:r>
      <w:r w:rsidR="008508D2" w:rsidRPr="00EE3623">
        <w:t xml:space="preserve"> </w:t>
      </w:r>
    </w:p>
    <w:p w14:paraId="630AD06C" w14:textId="6CDA9537" w:rsidR="008508D2" w:rsidRPr="00EE3623" w:rsidRDefault="008508D2" w:rsidP="008508D2">
      <w:r w:rsidRPr="00EE3623">
        <w:t xml:space="preserve">For the future we project that fertility rates </w:t>
      </w:r>
      <w:r w:rsidR="00D04881" w:rsidRPr="00EE3623">
        <w:t>by GCC</w:t>
      </w:r>
      <w:r w:rsidR="00AB6FA3" w:rsidRPr="00EE3623">
        <w:t>S</w:t>
      </w:r>
      <w:r w:rsidR="00D04881" w:rsidRPr="00EE3623">
        <w:t xml:space="preserve">A </w:t>
      </w:r>
      <w:r w:rsidR="00AB6FA3" w:rsidRPr="00EE3623">
        <w:t>will converge</w:t>
      </w:r>
      <w:r w:rsidR="00B91BE4" w:rsidRPr="00EE3623">
        <w:t>, but that in all state</w:t>
      </w:r>
      <w:r w:rsidR="00894734" w:rsidRPr="00EE3623">
        <w:t xml:space="preserve">s and territories, fertility rates in Greater Capital City areas will be lower than in the rest of the state. The only exception is the </w:t>
      </w:r>
      <w:r w:rsidRPr="00EE3623">
        <w:t xml:space="preserve">Northern Territory where fertility rates in Darwin were already similar to the rest of state in the base year. </w:t>
      </w:r>
    </w:p>
    <w:p w14:paraId="09A5E90B" w14:textId="54B36FE4" w:rsidR="00705E6E" w:rsidRPr="00EE3623" w:rsidRDefault="00BA5B95" w:rsidP="006317B6">
      <w:pPr>
        <w:pStyle w:val="NoSpacing"/>
      </w:pPr>
      <w:r w:rsidRPr="006317B6">
        <w:rPr>
          <w:rStyle w:val="Strong"/>
        </w:rPr>
        <w:t>Figure</w:t>
      </w:r>
      <w:r w:rsidR="006317B6" w:rsidRPr="006317B6">
        <w:rPr>
          <w:rStyle w:val="Strong"/>
        </w:rPr>
        <w:t> </w:t>
      </w:r>
      <w:r w:rsidRPr="006317B6">
        <w:rPr>
          <w:rStyle w:val="Strong"/>
        </w:rPr>
        <w:t>S</w:t>
      </w:r>
      <w:r w:rsidR="00CE7A73" w:rsidRPr="006317B6">
        <w:rPr>
          <w:rStyle w:val="Strong"/>
        </w:rPr>
        <w:fldChar w:fldCharType="begin"/>
      </w:r>
      <w:r w:rsidR="00CE7A73" w:rsidRPr="006317B6">
        <w:rPr>
          <w:rStyle w:val="Strong"/>
        </w:rPr>
        <w:instrText xml:space="preserve"> SEQ Figure_S \* ARABIC </w:instrText>
      </w:r>
      <w:r w:rsidR="00CE7A73" w:rsidRPr="006317B6">
        <w:rPr>
          <w:rStyle w:val="Strong"/>
        </w:rPr>
        <w:fldChar w:fldCharType="separate"/>
      </w:r>
      <w:r w:rsidR="00CE7A73" w:rsidRPr="006317B6">
        <w:rPr>
          <w:rStyle w:val="Strong"/>
        </w:rPr>
        <w:t>5</w:t>
      </w:r>
      <w:r w:rsidR="00CE7A73" w:rsidRPr="006317B6">
        <w:rPr>
          <w:rStyle w:val="Strong"/>
        </w:rPr>
        <w:fldChar w:fldCharType="end"/>
      </w:r>
      <w:r w:rsidRPr="006317B6">
        <w:rPr>
          <w:rStyle w:val="Strong"/>
        </w:rPr>
        <w:t>: T</w:t>
      </w:r>
      <w:r w:rsidR="00894734" w:rsidRPr="006317B6">
        <w:rPr>
          <w:rStyle w:val="Strong"/>
        </w:rPr>
        <w:t xml:space="preserve">otal Fertility Rate by </w:t>
      </w:r>
      <w:r w:rsidRPr="006317B6">
        <w:rPr>
          <w:rStyle w:val="Strong"/>
        </w:rPr>
        <w:t>Greater Capital City Statistical Area</w:t>
      </w:r>
      <w:r w:rsidR="00894734" w:rsidRPr="006317B6">
        <w:rPr>
          <w:rStyle w:val="Strong"/>
        </w:rPr>
        <w:t xml:space="preserve">: </w:t>
      </w:r>
      <w:r w:rsidR="0097525B" w:rsidRPr="006317B6">
        <w:rPr>
          <w:rStyle w:val="Strong"/>
        </w:rPr>
        <w:t>historical trend</w:t>
      </w:r>
      <w:r w:rsidR="002A679D" w:rsidRPr="006317B6">
        <w:rPr>
          <w:rStyle w:val="Strong"/>
        </w:rPr>
        <w:t>s</w:t>
      </w:r>
      <w:r w:rsidR="0097525B" w:rsidRPr="006317B6">
        <w:rPr>
          <w:rStyle w:val="Strong"/>
        </w:rPr>
        <w:t xml:space="preserve"> </w:t>
      </w:r>
      <w:r w:rsidR="002A679D" w:rsidRPr="006317B6">
        <w:rPr>
          <w:rStyle w:val="Strong"/>
        </w:rPr>
        <w:t>and projections by State/Territory.</w:t>
      </w:r>
      <w:r w:rsidR="002A679D" w:rsidRPr="00EE3623">
        <w:t xml:space="preserve"> </w:t>
      </w:r>
      <w:r w:rsidR="002F46BE" w:rsidRPr="00EE3623">
        <w:rPr>
          <w:b/>
          <w:bCs/>
          <w:noProof/>
        </w:rPr>
        <w:drawing>
          <wp:inline distT="0" distB="0" distL="0" distR="0" wp14:anchorId="17B5D00F" wp14:editId="3AD12C36">
            <wp:extent cx="5580380" cy="6193790"/>
            <wp:effectExtent l="0" t="0" r="1270" b="0"/>
            <wp:docPr id="764992356" name="Picture 4" descr="Line charts showing historical and projected Total Fertility Rate (TFR) from 2000 to 2065-66 for Greater Capital Cities (black solid line) and Rest of State/Territory areas (orange dashed line) across seven Australian states and territories: NSW, VIC, QLD, SA, WA, NT, TAS. Each panel compares the two regions within each state, with a vertical line in 2023 marking the start of projections. Rest of State/Territory areas generally have higher TFRs than capital cities, though all show a gradual decline over time. The projected lines show a convergence between Rest of State/Territory and Capital City Areas over ti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992356" name="Picture 4" descr="Line charts showing historical and projected Total Fertility Rate (TFR) from 2000 to 2065-66 for Greater Capital Cities (black solid line) and Rest of State/Territory areas (orange dashed line) across seven Australian states and territories: NSW, VIC, QLD, SA, WA, NT, TAS. Each panel compares the two regions within each state, with a vertical line in 2023 marking the start of projections. Rest of State/Territory areas generally have higher TFRs than capital cities, though all show a gradual decline over time. The projected lines show a convergence between Rest of State/Territory and Capital City Areas over time. "/>
                    <pic:cNvPicPr/>
                  </pic:nvPicPr>
                  <pic:blipFill>
                    <a:blip r:embed="rId18"/>
                    <a:stretch>
                      <a:fillRect/>
                    </a:stretch>
                  </pic:blipFill>
                  <pic:spPr>
                    <a:xfrm>
                      <a:off x="0" y="0"/>
                      <a:ext cx="5580380" cy="6193790"/>
                    </a:xfrm>
                    <a:prstGeom prst="rect">
                      <a:avLst/>
                    </a:prstGeom>
                  </pic:spPr>
                </pic:pic>
              </a:graphicData>
            </a:graphic>
          </wp:inline>
        </w:drawing>
      </w:r>
    </w:p>
    <w:p w14:paraId="2618AD92" w14:textId="77777777" w:rsidR="00935223" w:rsidRPr="006F2625" w:rsidRDefault="00935223" w:rsidP="001A446B">
      <w:pPr>
        <w:pStyle w:val="Source"/>
      </w:pPr>
      <w:r w:rsidRPr="006F2625">
        <w:t>Source: Data supplied by Centre for Population.</w:t>
      </w:r>
    </w:p>
    <w:p w14:paraId="0639AA6D" w14:textId="3349B7C6" w:rsidR="00C24932" w:rsidRPr="002D09C3" w:rsidRDefault="00AA6FB6" w:rsidP="002D09C3">
      <w:pPr>
        <w:rPr>
          <w:rStyle w:val="Strong"/>
        </w:rPr>
      </w:pPr>
      <w:r w:rsidRPr="00EE3623">
        <w:br w:type="page"/>
      </w:r>
      <w:r w:rsidR="00C24932" w:rsidRPr="002D09C3">
        <w:rPr>
          <w:rStyle w:val="Strong"/>
        </w:rPr>
        <w:lastRenderedPageBreak/>
        <w:t>Table</w:t>
      </w:r>
      <w:r w:rsidR="006317B6" w:rsidRPr="002D09C3">
        <w:rPr>
          <w:rStyle w:val="Strong"/>
        </w:rPr>
        <w:t> </w:t>
      </w:r>
      <w:r w:rsidR="00C24932" w:rsidRPr="002D09C3">
        <w:rPr>
          <w:rStyle w:val="Strong"/>
        </w:rPr>
        <w:t>S2:</w:t>
      </w:r>
      <w:r w:rsidR="006317B6" w:rsidRPr="002D09C3">
        <w:rPr>
          <w:rStyle w:val="Strong"/>
        </w:rPr>
        <w:t xml:space="preserve"> </w:t>
      </w:r>
      <w:r w:rsidR="00C24932" w:rsidRPr="002D09C3">
        <w:rPr>
          <w:rStyle w:val="Strong"/>
        </w:rPr>
        <w:t>Observed (2022</w:t>
      </w:r>
      <w:r w:rsidR="0071623D" w:rsidRPr="002D09C3">
        <w:rPr>
          <w:rStyle w:val="Strong"/>
        </w:rPr>
        <w:t>–</w:t>
      </w:r>
      <w:r w:rsidR="00C24932" w:rsidRPr="002D09C3">
        <w:rPr>
          <w:rStyle w:val="Strong"/>
        </w:rPr>
        <w:t>23</w:t>
      </w:r>
      <w:r w:rsidR="000A66D0" w:rsidRPr="002D09C3">
        <w:rPr>
          <w:rStyle w:val="Strong"/>
        </w:rPr>
        <w:t xml:space="preserve"> a</w:t>
      </w:r>
      <w:r w:rsidR="00C24932" w:rsidRPr="002D09C3">
        <w:rPr>
          <w:rStyle w:val="Strong"/>
        </w:rPr>
        <w:t>) and projected (2065</w:t>
      </w:r>
      <w:r w:rsidR="0071623D" w:rsidRPr="002D09C3">
        <w:rPr>
          <w:rStyle w:val="Strong"/>
        </w:rPr>
        <w:t>–</w:t>
      </w:r>
      <w:r w:rsidR="00C24932" w:rsidRPr="002D09C3">
        <w:rPr>
          <w:rStyle w:val="Strong"/>
        </w:rPr>
        <w:t>66) Total Fertility Rate by State</w:t>
      </w:r>
      <w:r w:rsidR="008F0DDE" w:rsidRPr="002D09C3">
        <w:rPr>
          <w:rStyle w:val="Strong"/>
        </w:rPr>
        <w:t>/Territory</w:t>
      </w:r>
      <w:r w:rsidR="00C24932" w:rsidRPr="002D09C3">
        <w:rPr>
          <w:rStyle w:val="Strong"/>
        </w:rPr>
        <w:t xml:space="preserve"> and Greater Capital City Statistical Area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071"/>
        <w:gridCol w:w="1106"/>
        <w:gridCol w:w="1106"/>
        <w:gridCol w:w="1106"/>
        <w:gridCol w:w="1133"/>
        <w:gridCol w:w="1133"/>
        <w:gridCol w:w="1133"/>
      </w:tblGrid>
      <w:tr w:rsidR="00C24932" w:rsidRPr="001D1E1C" w14:paraId="5E9ECC12" w14:textId="4C1B990E" w:rsidTr="001D1E1C">
        <w:trPr>
          <w:trHeight w:val="20"/>
        </w:trPr>
        <w:tc>
          <w:tcPr>
            <w:tcW w:w="2127" w:type="dxa"/>
            <w:tcBorders>
              <w:top w:val="single" w:sz="4" w:space="0" w:color="auto"/>
              <w:bottom w:val="single" w:sz="4" w:space="0" w:color="auto"/>
            </w:tcBorders>
          </w:tcPr>
          <w:p w14:paraId="4EBBA27A" w14:textId="7C99014E" w:rsidR="006D4D77" w:rsidRPr="001D1E1C" w:rsidRDefault="006D4D77" w:rsidP="001D1E1C">
            <w:pPr>
              <w:pStyle w:val="TableHeading"/>
              <w:jc w:val="right"/>
            </w:pPr>
          </w:p>
        </w:tc>
        <w:tc>
          <w:tcPr>
            <w:tcW w:w="1134" w:type="dxa"/>
            <w:tcBorders>
              <w:top w:val="single" w:sz="4" w:space="0" w:color="auto"/>
              <w:bottom w:val="single" w:sz="4" w:space="0" w:color="auto"/>
            </w:tcBorders>
          </w:tcPr>
          <w:p w14:paraId="0F5503A8" w14:textId="285AC68C" w:rsidR="006D4D77" w:rsidRPr="001D1E1C" w:rsidRDefault="000A66D0" w:rsidP="001D1E1C">
            <w:pPr>
              <w:pStyle w:val="TableHeading"/>
              <w:jc w:val="right"/>
            </w:pPr>
            <w:r w:rsidRPr="001D1E1C">
              <w:t xml:space="preserve">2022–23 </w:t>
            </w:r>
            <w:r w:rsidR="006D4D77" w:rsidRPr="001D1E1C">
              <w:t>State</w:t>
            </w:r>
          </w:p>
        </w:tc>
        <w:tc>
          <w:tcPr>
            <w:tcW w:w="1134" w:type="dxa"/>
            <w:tcBorders>
              <w:top w:val="single" w:sz="4" w:space="0" w:color="auto"/>
              <w:bottom w:val="single" w:sz="4" w:space="0" w:color="auto"/>
            </w:tcBorders>
          </w:tcPr>
          <w:p w14:paraId="0647D6FF" w14:textId="4321CB07" w:rsidR="006D4D77" w:rsidRPr="001D1E1C" w:rsidRDefault="000A66D0" w:rsidP="001D1E1C">
            <w:pPr>
              <w:pStyle w:val="TableHeading"/>
              <w:jc w:val="right"/>
            </w:pPr>
            <w:r w:rsidRPr="001D1E1C">
              <w:t xml:space="preserve">2022–23 </w:t>
            </w:r>
            <w:r w:rsidR="006D4D77" w:rsidRPr="001D1E1C">
              <w:t>Greater Capital City</w:t>
            </w:r>
          </w:p>
        </w:tc>
        <w:tc>
          <w:tcPr>
            <w:tcW w:w="1134" w:type="dxa"/>
            <w:tcBorders>
              <w:top w:val="single" w:sz="4" w:space="0" w:color="auto"/>
              <w:bottom w:val="single" w:sz="4" w:space="0" w:color="auto"/>
            </w:tcBorders>
          </w:tcPr>
          <w:p w14:paraId="2EA3D270" w14:textId="48F3CC92" w:rsidR="006D4D77" w:rsidRPr="001D1E1C" w:rsidRDefault="000A66D0" w:rsidP="001D1E1C">
            <w:pPr>
              <w:pStyle w:val="TableHeading"/>
              <w:jc w:val="right"/>
            </w:pPr>
            <w:r w:rsidRPr="001D1E1C">
              <w:t xml:space="preserve">2022–23 </w:t>
            </w:r>
            <w:r w:rsidR="006D4D77" w:rsidRPr="001D1E1C">
              <w:t>Rest of State/</w:t>
            </w:r>
            <w:r w:rsidR="001D1E1C">
              <w:br/>
            </w:r>
            <w:r w:rsidR="006D4D77" w:rsidRPr="001D1E1C">
              <w:t>Territory</w:t>
            </w:r>
          </w:p>
        </w:tc>
        <w:tc>
          <w:tcPr>
            <w:tcW w:w="1162" w:type="dxa"/>
            <w:tcBorders>
              <w:top w:val="single" w:sz="4" w:space="0" w:color="auto"/>
              <w:bottom w:val="single" w:sz="4" w:space="0" w:color="auto"/>
            </w:tcBorders>
          </w:tcPr>
          <w:p w14:paraId="4B79F5A2" w14:textId="2D7D3DAB" w:rsidR="006D4D77" w:rsidRPr="001D1E1C" w:rsidRDefault="000A66D0" w:rsidP="001D1E1C">
            <w:pPr>
              <w:pStyle w:val="TableHeading"/>
              <w:jc w:val="right"/>
            </w:pPr>
            <w:r w:rsidRPr="001D1E1C">
              <w:t xml:space="preserve">2065–66 </w:t>
            </w:r>
            <w:r w:rsidR="006D4D77" w:rsidRPr="001D1E1C">
              <w:t>State</w:t>
            </w:r>
          </w:p>
        </w:tc>
        <w:tc>
          <w:tcPr>
            <w:tcW w:w="1162" w:type="dxa"/>
            <w:tcBorders>
              <w:top w:val="single" w:sz="4" w:space="0" w:color="auto"/>
              <w:bottom w:val="single" w:sz="4" w:space="0" w:color="auto"/>
            </w:tcBorders>
          </w:tcPr>
          <w:p w14:paraId="20D12B22" w14:textId="61E43D78" w:rsidR="006D4D77" w:rsidRPr="001D1E1C" w:rsidRDefault="000A66D0" w:rsidP="001D1E1C">
            <w:pPr>
              <w:pStyle w:val="TableHeading"/>
              <w:jc w:val="right"/>
            </w:pPr>
            <w:r w:rsidRPr="001D1E1C">
              <w:t xml:space="preserve">2065–66 </w:t>
            </w:r>
            <w:r w:rsidR="006D4D77" w:rsidRPr="001D1E1C">
              <w:t>Greater Capital City</w:t>
            </w:r>
          </w:p>
        </w:tc>
        <w:tc>
          <w:tcPr>
            <w:tcW w:w="1162" w:type="dxa"/>
            <w:tcBorders>
              <w:top w:val="single" w:sz="4" w:space="0" w:color="auto"/>
              <w:bottom w:val="single" w:sz="4" w:space="0" w:color="auto"/>
            </w:tcBorders>
          </w:tcPr>
          <w:p w14:paraId="137084AE" w14:textId="0C171178" w:rsidR="006D4D77" w:rsidRPr="001D1E1C" w:rsidRDefault="000A66D0" w:rsidP="001D1E1C">
            <w:pPr>
              <w:pStyle w:val="TableHeading"/>
              <w:jc w:val="right"/>
            </w:pPr>
            <w:r w:rsidRPr="001D1E1C">
              <w:t xml:space="preserve">2065–66 </w:t>
            </w:r>
            <w:r w:rsidR="006D4D77" w:rsidRPr="001D1E1C">
              <w:t>Rest of State/</w:t>
            </w:r>
            <w:r w:rsidR="00C24932" w:rsidRPr="001D1E1C">
              <w:t xml:space="preserve"> </w:t>
            </w:r>
            <w:r w:rsidR="006D4D77" w:rsidRPr="001D1E1C">
              <w:t>Territory</w:t>
            </w:r>
          </w:p>
        </w:tc>
      </w:tr>
      <w:tr w:rsidR="0049124D" w:rsidRPr="00EE3623" w14:paraId="17294176" w14:textId="77777777" w:rsidTr="003A5302">
        <w:trPr>
          <w:trHeight w:val="20"/>
        </w:trPr>
        <w:tc>
          <w:tcPr>
            <w:tcW w:w="2127" w:type="dxa"/>
            <w:tcBorders>
              <w:top w:val="single" w:sz="4" w:space="0" w:color="auto"/>
            </w:tcBorders>
            <w:shd w:val="clear" w:color="auto" w:fill="F2F2F2" w:themeFill="background1" w:themeFillShade="F2"/>
            <w:vAlign w:val="center"/>
          </w:tcPr>
          <w:p w14:paraId="0D07A59C" w14:textId="77777777" w:rsidR="006D4D77" w:rsidRPr="00EE3623" w:rsidRDefault="006D4D77" w:rsidP="005D1945">
            <w:pPr>
              <w:pStyle w:val="TableText"/>
              <w:rPr>
                <w:lang w:val="en-AU"/>
              </w:rPr>
            </w:pPr>
            <w:r w:rsidRPr="00EE3623">
              <w:rPr>
                <w:lang w:val="en-AU"/>
              </w:rPr>
              <w:t>New South Wales</w:t>
            </w:r>
          </w:p>
        </w:tc>
        <w:tc>
          <w:tcPr>
            <w:tcW w:w="1134" w:type="dxa"/>
            <w:tcBorders>
              <w:top w:val="single" w:sz="4" w:space="0" w:color="auto"/>
            </w:tcBorders>
            <w:shd w:val="clear" w:color="auto" w:fill="F2F2F2" w:themeFill="background1" w:themeFillShade="F2"/>
            <w:vAlign w:val="center"/>
          </w:tcPr>
          <w:p w14:paraId="796907B1" w14:textId="24AA1B33" w:rsidR="006D4D77" w:rsidRPr="00EE3623" w:rsidRDefault="006D4D77" w:rsidP="005D1945">
            <w:pPr>
              <w:pStyle w:val="TableText"/>
              <w:jc w:val="right"/>
              <w:rPr>
                <w:b/>
                <w:bCs/>
                <w:lang w:val="en-AU"/>
              </w:rPr>
            </w:pPr>
            <w:r w:rsidRPr="00EE3623">
              <w:rPr>
                <w:b/>
                <w:bCs/>
                <w:lang w:val="en-AU"/>
              </w:rPr>
              <w:t>1.</w:t>
            </w:r>
            <w:r w:rsidR="00120B5F" w:rsidRPr="00EE3623">
              <w:rPr>
                <w:b/>
                <w:bCs/>
                <w:lang w:val="en-AU"/>
              </w:rPr>
              <w:t>59</w:t>
            </w:r>
          </w:p>
        </w:tc>
        <w:tc>
          <w:tcPr>
            <w:tcW w:w="1134" w:type="dxa"/>
            <w:tcBorders>
              <w:top w:val="single" w:sz="4" w:space="0" w:color="auto"/>
            </w:tcBorders>
            <w:shd w:val="clear" w:color="auto" w:fill="F2F2F2" w:themeFill="background1" w:themeFillShade="F2"/>
          </w:tcPr>
          <w:p w14:paraId="7309302A" w14:textId="60169E74" w:rsidR="006D4D77" w:rsidRPr="00EE3623" w:rsidRDefault="00744B47" w:rsidP="005D1945">
            <w:pPr>
              <w:pStyle w:val="TableText"/>
              <w:jc w:val="right"/>
              <w:rPr>
                <w:bCs/>
                <w:lang w:val="en-AU"/>
              </w:rPr>
            </w:pPr>
            <w:r w:rsidRPr="00EE3623">
              <w:rPr>
                <w:bCs/>
                <w:lang w:val="en-AU"/>
              </w:rPr>
              <w:t>1.48</w:t>
            </w:r>
          </w:p>
        </w:tc>
        <w:tc>
          <w:tcPr>
            <w:tcW w:w="1134" w:type="dxa"/>
            <w:tcBorders>
              <w:top w:val="single" w:sz="4" w:space="0" w:color="auto"/>
            </w:tcBorders>
            <w:shd w:val="clear" w:color="auto" w:fill="F2F2F2" w:themeFill="background1" w:themeFillShade="F2"/>
          </w:tcPr>
          <w:p w14:paraId="5C6FB77D" w14:textId="3417AA53" w:rsidR="006D4D77" w:rsidRPr="00EE3623" w:rsidRDefault="00744B47" w:rsidP="005D1945">
            <w:pPr>
              <w:pStyle w:val="TableText"/>
              <w:jc w:val="right"/>
              <w:rPr>
                <w:bCs/>
                <w:lang w:val="en-AU"/>
              </w:rPr>
            </w:pPr>
            <w:r w:rsidRPr="00EE3623">
              <w:rPr>
                <w:bCs/>
                <w:lang w:val="en-AU"/>
              </w:rPr>
              <w:t>1.86</w:t>
            </w:r>
          </w:p>
        </w:tc>
        <w:tc>
          <w:tcPr>
            <w:tcW w:w="1162" w:type="dxa"/>
            <w:tcBorders>
              <w:top w:val="single" w:sz="4" w:space="0" w:color="auto"/>
            </w:tcBorders>
            <w:shd w:val="clear" w:color="auto" w:fill="F2F2F2" w:themeFill="background1" w:themeFillShade="F2"/>
            <w:vAlign w:val="center"/>
          </w:tcPr>
          <w:p w14:paraId="4D591014" w14:textId="0D7F01AB" w:rsidR="006D4D77" w:rsidRPr="00EE3623" w:rsidRDefault="006D4D77" w:rsidP="005D1945">
            <w:pPr>
              <w:pStyle w:val="TableText"/>
              <w:jc w:val="right"/>
              <w:rPr>
                <w:b/>
                <w:bCs/>
                <w:lang w:val="en-AU"/>
              </w:rPr>
            </w:pPr>
            <w:r w:rsidRPr="00EE3623">
              <w:rPr>
                <w:b/>
                <w:lang w:val="en-AU"/>
              </w:rPr>
              <w:t>1.</w:t>
            </w:r>
            <w:r w:rsidRPr="00EE3623">
              <w:rPr>
                <w:b/>
                <w:bCs/>
                <w:lang w:val="en-AU"/>
              </w:rPr>
              <w:t>37</w:t>
            </w:r>
          </w:p>
        </w:tc>
        <w:tc>
          <w:tcPr>
            <w:tcW w:w="1162" w:type="dxa"/>
            <w:tcBorders>
              <w:top w:val="single" w:sz="4" w:space="0" w:color="auto"/>
            </w:tcBorders>
            <w:shd w:val="clear" w:color="auto" w:fill="F2F2F2" w:themeFill="background1" w:themeFillShade="F2"/>
            <w:vAlign w:val="center"/>
          </w:tcPr>
          <w:p w14:paraId="6CCAB5FD" w14:textId="73225CF9" w:rsidR="006D4D77" w:rsidRPr="00EE3623" w:rsidRDefault="006E324D" w:rsidP="005D1945">
            <w:pPr>
              <w:pStyle w:val="TableText"/>
              <w:jc w:val="right"/>
              <w:rPr>
                <w:lang w:val="en-AU"/>
              </w:rPr>
            </w:pPr>
            <w:r w:rsidRPr="00EE3623">
              <w:rPr>
                <w:lang w:val="en-AU"/>
              </w:rPr>
              <w:t>1.34</w:t>
            </w:r>
          </w:p>
        </w:tc>
        <w:tc>
          <w:tcPr>
            <w:tcW w:w="1162" w:type="dxa"/>
            <w:tcBorders>
              <w:top w:val="single" w:sz="4" w:space="0" w:color="auto"/>
            </w:tcBorders>
            <w:shd w:val="clear" w:color="auto" w:fill="F2F2F2" w:themeFill="background1" w:themeFillShade="F2"/>
            <w:vAlign w:val="center"/>
          </w:tcPr>
          <w:p w14:paraId="37B4AC3D" w14:textId="2CFEF0E9" w:rsidR="006D4D77" w:rsidRPr="00EE3623" w:rsidRDefault="006E324D" w:rsidP="005D1945">
            <w:pPr>
              <w:pStyle w:val="TableText"/>
              <w:jc w:val="right"/>
              <w:rPr>
                <w:lang w:val="en-AU"/>
              </w:rPr>
            </w:pPr>
            <w:r w:rsidRPr="00EE3623">
              <w:rPr>
                <w:lang w:val="en-AU"/>
              </w:rPr>
              <w:t>1.42</w:t>
            </w:r>
          </w:p>
        </w:tc>
      </w:tr>
      <w:tr w:rsidR="0049124D" w:rsidRPr="00EE3623" w14:paraId="3C24CBF1" w14:textId="40C47771" w:rsidTr="001A446B">
        <w:trPr>
          <w:trHeight w:val="20"/>
        </w:trPr>
        <w:tc>
          <w:tcPr>
            <w:tcW w:w="2127" w:type="dxa"/>
            <w:vAlign w:val="center"/>
          </w:tcPr>
          <w:p w14:paraId="26CC43BF" w14:textId="77777777" w:rsidR="006D4D77" w:rsidRPr="00EE3623" w:rsidRDefault="006D4D77" w:rsidP="005D1945">
            <w:pPr>
              <w:pStyle w:val="TableText"/>
              <w:rPr>
                <w:lang w:val="en-AU"/>
              </w:rPr>
            </w:pPr>
            <w:r w:rsidRPr="00EE3623">
              <w:rPr>
                <w:lang w:val="en-AU"/>
              </w:rPr>
              <w:t>Victoria</w:t>
            </w:r>
          </w:p>
        </w:tc>
        <w:tc>
          <w:tcPr>
            <w:tcW w:w="1134" w:type="dxa"/>
            <w:vAlign w:val="center"/>
          </w:tcPr>
          <w:p w14:paraId="054FC1FE" w14:textId="718F145D" w:rsidR="006D4D77" w:rsidRPr="00EE3623" w:rsidRDefault="006D4D77" w:rsidP="005D1945">
            <w:pPr>
              <w:pStyle w:val="TableText"/>
              <w:jc w:val="right"/>
              <w:rPr>
                <w:b/>
                <w:bCs/>
                <w:lang w:val="en-AU"/>
              </w:rPr>
            </w:pPr>
            <w:r w:rsidRPr="00EE3623">
              <w:rPr>
                <w:b/>
                <w:bCs/>
                <w:lang w:val="en-AU"/>
              </w:rPr>
              <w:t>1.4</w:t>
            </w:r>
            <w:r w:rsidR="00120B5F" w:rsidRPr="00EE3623">
              <w:rPr>
                <w:b/>
                <w:bCs/>
                <w:lang w:val="en-AU"/>
              </w:rPr>
              <w:t>7</w:t>
            </w:r>
          </w:p>
        </w:tc>
        <w:tc>
          <w:tcPr>
            <w:tcW w:w="1134" w:type="dxa"/>
          </w:tcPr>
          <w:p w14:paraId="30DD2A41" w14:textId="03C19009" w:rsidR="006D4D77" w:rsidRPr="00EE3623" w:rsidRDefault="001E199C" w:rsidP="005D1945">
            <w:pPr>
              <w:pStyle w:val="TableText"/>
              <w:jc w:val="right"/>
              <w:rPr>
                <w:bCs/>
                <w:lang w:val="en-AU"/>
              </w:rPr>
            </w:pPr>
            <w:r w:rsidRPr="00EE3623">
              <w:rPr>
                <w:bCs/>
                <w:lang w:val="en-AU"/>
              </w:rPr>
              <w:t>1.40</w:t>
            </w:r>
          </w:p>
        </w:tc>
        <w:tc>
          <w:tcPr>
            <w:tcW w:w="1134" w:type="dxa"/>
          </w:tcPr>
          <w:p w14:paraId="20FE708F" w14:textId="364B5CC1" w:rsidR="006D4D77" w:rsidRPr="00EE3623" w:rsidRDefault="001E199C" w:rsidP="005D1945">
            <w:pPr>
              <w:pStyle w:val="TableText"/>
              <w:jc w:val="right"/>
              <w:rPr>
                <w:bCs/>
                <w:lang w:val="en-AU"/>
              </w:rPr>
            </w:pPr>
            <w:r w:rsidRPr="00EE3623">
              <w:rPr>
                <w:bCs/>
                <w:lang w:val="en-AU"/>
              </w:rPr>
              <w:t>1.53</w:t>
            </w:r>
          </w:p>
        </w:tc>
        <w:tc>
          <w:tcPr>
            <w:tcW w:w="1162" w:type="dxa"/>
            <w:vAlign w:val="center"/>
          </w:tcPr>
          <w:p w14:paraId="5FD1EB50" w14:textId="4FDB093E" w:rsidR="006D4D77" w:rsidRPr="00EE3623" w:rsidRDefault="006D4D77" w:rsidP="005D1945">
            <w:pPr>
              <w:pStyle w:val="TableText"/>
              <w:jc w:val="right"/>
              <w:rPr>
                <w:b/>
                <w:bCs/>
                <w:lang w:val="en-AU"/>
              </w:rPr>
            </w:pPr>
            <w:r w:rsidRPr="00EE3623">
              <w:rPr>
                <w:b/>
                <w:lang w:val="en-AU"/>
              </w:rPr>
              <w:t>1.31</w:t>
            </w:r>
          </w:p>
        </w:tc>
        <w:tc>
          <w:tcPr>
            <w:tcW w:w="1162" w:type="dxa"/>
            <w:vAlign w:val="center"/>
          </w:tcPr>
          <w:p w14:paraId="133D4531" w14:textId="0257F70A" w:rsidR="006D4D77" w:rsidRPr="00EE3623" w:rsidRDefault="002C44DD" w:rsidP="005D1945">
            <w:pPr>
              <w:pStyle w:val="TableText"/>
              <w:jc w:val="right"/>
              <w:rPr>
                <w:lang w:val="en-AU"/>
              </w:rPr>
            </w:pPr>
            <w:r w:rsidRPr="00EE3623">
              <w:rPr>
                <w:lang w:val="en-AU"/>
              </w:rPr>
              <w:t>1.27</w:t>
            </w:r>
          </w:p>
        </w:tc>
        <w:tc>
          <w:tcPr>
            <w:tcW w:w="1162" w:type="dxa"/>
            <w:vAlign w:val="center"/>
          </w:tcPr>
          <w:p w14:paraId="30941635" w14:textId="6A05BD6E" w:rsidR="006D4D77" w:rsidRPr="00EE3623" w:rsidRDefault="002C44DD" w:rsidP="005D1945">
            <w:pPr>
              <w:pStyle w:val="TableText"/>
              <w:jc w:val="right"/>
              <w:rPr>
                <w:lang w:val="en-AU"/>
              </w:rPr>
            </w:pPr>
            <w:r w:rsidRPr="00EE3623">
              <w:rPr>
                <w:lang w:val="en-AU"/>
              </w:rPr>
              <w:t>1.42</w:t>
            </w:r>
          </w:p>
        </w:tc>
      </w:tr>
      <w:tr w:rsidR="0049124D" w:rsidRPr="00EE3623" w14:paraId="53B08B6C" w14:textId="77777777" w:rsidTr="003A5302">
        <w:trPr>
          <w:trHeight w:val="20"/>
        </w:trPr>
        <w:tc>
          <w:tcPr>
            <w:tcW w:w="2127" w:type="dxa"/>
            <w:shd w:val="clear" w:color="auto" w:fill="F2F2F2" w:themeFill="background1" w:themeFillShade="F2"/>
            <w:vAlign w:val="center"/>
          </w:tcPr>
          <w:p w14:paraId="6AB0AA79" w14:textId="77777777" w:rsidR="006D4D77" w:rsidRPr="00EE3623" w:rsidRDefault="006D4D77" w:rsidP="005D1945">
            <w:pPr>
              <w:pStyle w:val="TableText"/>
              <w:rPr>
                <w:lang w:val="en-AU"/>
              </w:rPr>
            </w:pPr>
            <w:r w:rsidRPr="00EE3623">
              <w:rPr>
                <w:lang w:val="en-AU"/>
              </w:rPr>
              <w:t>Queensland</w:t>
            </w:r>
          </w:p>
        </w:tc>
        <w:tc>
          <w:tcPr>
            <w:tcW w:w="1134" w:type="dxa"/>
            <w:shd w:val="clear" w:color="auto" w:fill="F2F2F2" w:themeFill="background1" w:themeFillShade="F2"/>
            <w:vAlign w:val="center"/>
          </w:tcPr>
          <w:p w14:paraId="1688E091" w14:textId="4B67590F" w:rsidR="006D4D77" w:rsidRPr="00EE3623" w:rsidRDefault="006D4D77" w:rsidP="005D1945">
            <w:pPr>
              <w:pStyle w:val="TableText"/>
              <w:jc w:val="right"/>
              <w:rPr>
                <w:b/>
                <w:bCs/>
                <w:lang w:val="en-AU"/>
              </w:rPr>
            </w:pPr>
            <w:r w:rsidRPr="00EE3623">
              <w:rPr>
                <w:b/>
                <w:bCs/>
                <w:lang w:val="en-AU"/>
              </w:rPr>
              <w:t>1.</w:t>
            </w:r>
            <w:r w:rsidR="00120B5F" w:rsidRPr="00EE3623">
              <w:rPr>
                <w:b/>
                <w:bCs/>
                <w:lang w:val="en-AU"/>
              </w:rPr>
              <w:t>60</w:t>
            </w:r>
          </w:p>
        </w:tc>
        <w:tc>
          <w:tcPr>
            <w:tcW w:w="1134" w:type="dxa"/>
            <w:shd w:val="clear" w:color="auto" w:fill="F2F2F2" w:themeFill="background1" w:themeFillShade="F2"/>
          </w:tcPr>
          <w:p w14:paraId="4239C901" w14:textId="49AD8A80" w:rsidR="006D4D77" w:rsidRPr="00EE3623" w:rsidRDefault="00F625DA" w:rsidP="005D1945">
            <w:pPr>
              <w:pStyle w:val="TableText"/>
              <w:jc w:val="right"/>
              <w:rPr>
                <w:bCs/>
                <w:lang w:val="en-AU"/>
              </w:rPr>
            </w:pPr>
            <w:r w:rsidRPr="00EE3623">
              <w:rPr>
                <w:bCs/>
                <w:lang w:val="en-AU"/>
              </w:rPr>
              <w:t>1.53</w:t>
            </w:r>
          </w:p>
        </w:tc>
        <w:tc>
          <w:tcPr>
            <w:tcW w:w="1134" w:type="dxa"/>
            <w:shd w:val="clear" w:color="auto" w:fill="F2F2F2" w:themeFill="background1" w:themeFillShade="F2"/>
          </w:tcPr>
          <w:p w14:paraId="7ADD820B" w14:textId="715061B2" w:rsidR="006D4D77" w:rsidRPr="00EE3623" w:rsidRDefault="00F625DA" w:rsidP="005D1945">
            <w:pPr>
              <w:pStyle w:val="TableText"/>
              <w:jc w:val="right"/>
              <w:rPr>
                <w:bCs/>
                <w:lang w:val="en-AU"/>
              </w:rPr>
            </w:pPr>
            <w:r w:rsidRPr="00EE3623">
              <w:rPr>
                <w:bCs/>
                <w:lang w:val="en-AU"/>
              </w:rPr>
              <w:t>1.69</w:t>
            </w:r>
          </w:p>
        </w:tc>
        <w:tc>
          <w:tcPr>
            <w:tcW w:w="1162" w:type="dxa"/>
            <w:shd w:val="clear" w:color="auto" w:fill="F2F2F2" w:themeFill="background1" w:themeFillShade="F2"/>
            <w:vAlign w:val="center"/>
          </w:tcPr>
          <w:p w14:paraId="1C1BD0C7" w14:textId="2DBB05E2" w:rsidR="006D4D77" w:rsidRPr="00EE3623" w:rsidRDefault="006D4D77" w:rsidP="005D1945">
            <w:pPr>
              <w:pStyle w:val="TableText"/>
              <w:jc w:val="right"/>
              <w:rPr>
                <w:b/>
                <w:bCs/>
                <w:lang w:val="en-AU"/>
              </w:rPr>
            </w:pPr>
            <w:r w:rsidRPr="00EE3623">
              <w:rPr>
                <w:b/>
                <w:lang w:val="en-AU"/>
              </w:rPr>
              <w:t>1.35</w:t>
            </w:r>
          </w:p>
        </w:tc>
        <w:tc>
          <w:tcPr>
            <w:tcW w:w="1162" w:type="dxa"/>
            <w:shd w:val="clear" w:color="auto" w:fill="F2F2F2" w:themeFill="background1" w:themeFillShade="F2"/>
            <w:vAlign w:val="center"/>
          </w:tcPr>
          <w:p w14:paraId="72251B50" w14:textId="47671EC8" w:rsidR="006D4D77" w:rsidRPr="00EE3623" w:rsidRDefault="00680B06" w:rsidP="005D1945">
            <w:pPr>
              <w:pStyle w:val="TableText"/>
              <w:jc w:val="right"/>
              <w:rPr>
                <w:lang w:val="en-AU"/>
              </w:rPr>
            </w:pPr>
            <w:r w:rsidRPr="00EE3623">
              <w:rPr>
                <w:lang w:val="en-AU"/>
              </w:rPr>
              <w:t>1.32</w:t>
            </w:r>
          </w:p>
        </w:tc>
        <w:tc>
          <w:tcPr>
            <w:tcW w:w="1162" w:type="dxa"/>
            <w:shd w:val="clear" w:color="auto" w:fill="F2F2F2" w:themeFill="background1" w:themeFillShade="F2"/>
            <w:vAlign w:val="center"/>
          </w:tcPr>
          <w:p w14:paraId="1495AEAC" w14:textId="7D4F62A9" w:rsidR="006D4D77" w:rsidRPr="00EE3623" w:rsidRDefault="00680B06" w:rsidP="005D1945">
            <w:pPr>
              <w:pStyle w:val="TableText"/>
              <w:jc w:val="right"/>
              <w:rPr>
                <w:lang w:val="en-AU"/>
              </w:rPr>
            </w:pPr>
            <w:r w:rsidRPr="00EE3623">
              <w:rPr>
                <w:lang w:val="en-AU"/>
              </w:rPr>
              <w:t>1.38</w:t>
            </w:r>
          </w:p>
        </w:tc>
      </w:tr>
      <w:tr w:rsidR="0049124D" w:rsidRPr="00EE3623" w14:paraId="79131A5B" w14:textId="0D9F731B" w:rsidTr="001A446B">
        <w:trPr>
          <w:trHeight w:val="400"/>
        </w:trPr>
        <w:tc>
          <w:tcPr>
            <w:tcW w:w="2127" w:type="dxa"/>
            <w:vAlign w:val="center"/>
          </w:tcPr>
          <w:p w14:paraId="2B56BF74" w14:textId="77777777" w:rsidR="006D4D77" w:rsidRPr="00EE3623" w:rsidRDefault="006D4D77" w:rsidP="005D1945">
            <w:pPr>
              <w:pStyle w:val="TableText"/>
              <w:rPr>
                <w:lang w:val="en-AU"/>
              </w:rPr>
            </w:pPr>
            <w:r w:rsidRPr="00EE3623">
              <w:rPr>
                <w:lang w:val="en-AU"/>
              </w:rPr>
              <w:t>South Australia</w:t>
            </w:r>
          </w:p>
        </w:tc>
        <w:tc>
          <w:tcPr>
            <w:tcW w:w="1134" w:type="dxa"/>
            <w:vAlign w:val="center"/>
          </w:tcPr>
          <w:p w14:paraId="39FB98D6" w14:textId="3D7085CF" w:rsidR="006D4D77" w:rsidRPr="00EE3623" w:rsidRDefault="006D4D77" w:rsidP="005D1945">
            <w:pPr>
              <w:pStyle w:val="TableText"/>
              <w:jc w:val="right"/>
              <w:rPr>
                <w:b/>
                <w:bCs/>
                <w:lang w:val="en-AU"/>
              </w:rPr>
            </w:pPr>
            <w:r w:rsidRPr="00EE3623">
              <w:rPr>
                <w:b/>
                <w:bCs/>
                <w:lang w:val="en-AU"/>
              </w:rPr>
              <w:t>1.5</w:t>
            </w:r>
            <w:r w:rsidR="006354B9" w:rsidRPr="00EE3623">
              <w:rPr>
                <w:b/>
                <w:bCs/>
                <w:lang w:val="en-AU"/>
              </w:rPr>
              <w:t>3</w:t>
            </w:r>
          </w:p>
        </w:tc>
        <w:tc>
          <w:tcPr>
            <w:tcW w:w="1134" w:type="dxa"/>
          </w:tcPr>
          <w:p w14:paraId="5621520A" w14:textId="64A9E45A" w:rsidR="006D4D77" w:rsidRPr="00EE3623" w:rsidRDefault="006F3390" w:rsidP="005D1945">
            <w:pPr>
              <w:pStyle w:val="TableText"/>
              <w:jc w:val="right"/>
              <w:rPr>
                <w:bCs/>
                <w:lang w:val="en-AU"/>
              </w:rPr>
            </w:pPr>
            <w:r w:rsidRPr="00EE3623">
              <w:rPr>
                <w:bCs/>
                <w:lang w:val="en-AU"/>
              </w:rPr>
              <w:t>1.47</w:t>
            </w:r>
          </w:p>
        </w:tc>
        <w:tc>
          <w:tcPr>
            <w:tcW w:w="1134" w:type="dxa"/>
          </w:tcPr>
          <w:p w14:paraId="3AA98049" w14:textId="36970615" w:rsidR="006D4D77" w:rsidRPr="00EE3623" w:rsidRDefault="006F3390" w:rsidP="005D1945">
            <w:pPr>
              <w:pStyle w:val="TableText"/>
              <w:jc w:val="right"/>
              <w:rPr>
                <w:bCs/>
                <w:lang w:val="en-AU"/>
              </w:rPr>
            </w:pPr>
            <w:r w:rsidRPr="00EE3623">
              <w:rPr>
                <w:bCs/>
                <w:lang w:val="en-AU"/>
              </w:rPr>
              <w:t>1.84</w:t>
            </w:r>
          </w:p>
        </w:tc>
        <w:tc>
          <w:tcPr>
            <w:tcW w:w="1162" w:type="dxa"/>
            <w:vAlign w:val="center"/>
          </w:tcPr>
          <w:p w14:paraId="04231F77" w14:textId="4AB91D65" w:rsidR="006D4D77" w:rsidRPr="00EE3623" w:rsidRDefault="006D4D77" w:rsidP="005D1945">
            <w:pPr>
              <w:pStyle w:val="TableText"/>
              <w:jc w:val="right"/>
              <w:rPr>
                <w:b/>
                <w:bCs/>
                <w:lang w:val="en-AU"/>
              </w:rPr>
            </w:pPr>
            <w:r w:rsidRPr="00EE3623">
              <w:rPr>
                <w:b/>
                <w:lang w:val="en-AU"/>
              </w:rPr>
              <w:t>1.31</w:t>
            </w:r>
          </w:p>
        </w:tc>
        <w:tc>
          <w:tcPr>
            <w:tcW w:w="1162" w:type="dxa"/>
            <w:vAlign w:val="center"/>
          </w:tcPr>
          <w:p w14:paraId="527AC3EA" w14:textId="1B7F0C92" w:rsidR="006D4D77" w:rsidRPr="00EE3623" w:rsidRDefault="00680B06" w:rsidP="005D1945">
            <w:pPr>
              <w:pStyle w:val="TableText"/>
              <w:jc w:val="right"/>
              <w:rPr>
                <w:lang w:val="en-AU"/>
              </w:rPr>
            </w:pPr>
            <w:r w:rsidRPr="00EE3623">
              <w:rPr>
                <w:lang w:val="en-AU"/>
              </w:rPr>
              <w:t>1.29</w:t>
            </w:r>
          </w:p>
        </w:tc>
        <w:tc>
          <w:tcPr>
            <w:tcW w:w="1162" w:type="dxa"/>
            <w:vAlign w:val="center"/>
          </w:tcPr>
          <w:p w14:paraId="4ABABDE0" w14:textId="05164C24" w:rsidR="006D4D77" w:rsidRPr="00EE3623" w:rsidRDefault="00680B06" w:rsidP="005D1945">
            <w:pPr>
              <w:pStyle w:val="TableText"/>
              <w:jc w:val="right"/>
              <w:rPr>
                <w:lang w:val="en-AU"/>
              </w:rPr>
            </w:pPr>
            <w:r w:rsidRPr="00EE3623">
              <w:rPr>
                <w:lang w:val="en-AU"/>
              </w:rPr>
              <w:t>1.44</w:t>
            </w:r>
          </w:p>
        </w:tc>
      </w:tr>
      <w:tr w:rsidR="0049124D" w:rsidRPr="00EE3623" w14:paraId="567AAD57" w14:textId="77777777" w:rsidTr="003A5302">
        <w:trPr>
          <w:trHeight w:val="20"/>
        </w:trPr>
        <w:tc>
          <w:tcPr>
            <w:tcW w:w="2127" w:type="dxa"/>
            <w:shd w:val="clear" w:color="auto" w:fill="F2F2F2" w:themeFill="background1" w:themeFillShade="F2"/>
            <w:vAlign w:val="center"/>
          </w:tcPr>
          <w:p w14:paraId="6CE7090C" w14:textId="77777777" w:rsidR="006D4D77" w:rsidRPr="00EE3623" w:rsidRDefault="006D4D77" w:rsidP="005D1945">
            <w:pPr>
              <w:pStyle w:val="TableText"/>
              <w:rPr>
                <w:lang w:val="en-AU"/>
              </w:rPr>
            </w:pPr>
            <w:r w:rsidRPr="00EE3623">
              <w:rPr>
                <w:lang w:val="en-AU"/>
              </w:rPr>
              <w:t>Western Australia</w:t>
            </w:r>
          </w:p>
        </w:tc>
        <w:tc>
          <w:tcPr>
            <w:tcW w:w="1134" w:type="dxa"/>
            <w:shd w:val="clear" w:color="auto" w:fill="F2F2F2" w:themeFill="background1" w:themeFillShade="F2"/>
            <w:vAlign w:val="center"/>
          </w:tcPr>
          <w:p w14:paraId="7652F217" w14:textId="12869235" w:rsidR="006D4D77" w:rsidRPr="00EE3623" w:rsidRDefault="006D4D77" w:rsidP="005D1945">
            <w:pPr>
              <w:pStyle w:val="TableText"/>
              <w:jc w:val="right"/>
              <w:rPr>
                <w:b/>
                <w:bCs/>
                <w:lang w:val="en-AU"/>
              </w:rPr>
            </w:pPr>
            <w:r w:rsidRPr="00EE3623">
              <w:rPr>
                <w:b/>
                <w:bCs/>
                <w:lang w:val="en-AU"/>
              </w:rPr>
              <w:t>1.</w:t>
            </w:r>
            <w:r w:rsidR="006354B9" w:rsidRPr="00EE3623">
              <w:rPr>
                <w:b/>
                <w:bCs/>
                <w:lang w:val="en-AU"/>
              </w:rPr>
              <w:t>57</w:t>
            </w:r>
          </w:p>
        </w:tc>
        <w:tc>
          <w:tcPr>
            <w:tcW w:w="1134" w:type="dxa"/>
            <w:shd w:val="clear" w:color="auto" w:fill="F2F2F2" w:themeFill="background1" w:themeFillShade="F2"/>
          </w:tcPr>
          <w:p w14:paraId="0B87556E" w14:textId="1E0A04CE" w:rsidR="006D4D77" w:rsidRPr="00EE3623" w:rsidRDefault="0003563E" w:rsidP="005D1945">
            <w:pPr>
              <w:pStyle w:val="TableText"/>
              <w:jc w:val="right"/>
              <w:rPr>
                <w:bCs/>
                <w:lang w:val="en-AU"/>
              </w:rPr>
            </w:pPr>
            <w:r w:rsidRPr="00EE3623">
              <w:rPr>
                <w:bCs/>
                <w:lang w:val="en-AU"/>
              </w:rPr>
              <w:t>1.53</w:t>
            </w:r>
          </w:p>
        </w:tc>
        <w:tc>
          <w:tcPr>
            <w:tcW w:w="1134" w:type="dxa"/>
            <w:shd w:val="clear" w:color="auto" w:fill="F2F2F2" w:themeFill="background1" w:themeFillShade="F2"/>
          </w:tcPr>
          <w:p w14:paraId="1E7926E7" w14:textId="79B7CADD" w:rsidR="006D4D77" w:rsidRPr="00EE3623" w:rsidRDefault="0003563E" w:rsidP="005D1945">
            <w:pPr>
              <w:pStyle w:val="TableText"/>
              <w:jc w:val="right"/>
              <w:rPr>
                <w:bCs/>
                <w:lang w:val="en-AU"/>
              </w:rPr>
            </w:pPr>
            <w:r w:rsidRPr="00EE3623">
              <w:rPr>
                <w:bCs/>
                <w:lang w:val="en-AU"/>
              </w:rPr>
              <w:t>1.78</w:t>
            </w:r>
          </w:p>
        </w:tc>
        <w:tc>
          <w:tcPr>
            <w:tcW w:w="1162" w:type="dxa"/>
            <w:shd w:val="clear" w:color="auto" w:fill="F2F2F2" w:themeFill="background1" w:themeFillShade="F2"/>
            <w:vAlign w:val="center"/>
          </w:tcPr>
          <w:p w14:paraId="671E4960" w14:textId="7409290F" w:rsidR="006D4D77" w:rsidRPr="00EE3623" w:rsidRDefault="006D4D77" w:rsidP="005D1945">
            <w:pPr>
              <w:pStyle w:val="TableText"/>
              <w:jc w:val="right"/>
              <w:rPr>
                <w:b/>
                <w:bCs/>
                <w:lang w:val="en-AU"/>
              </w:rPr>
            </w:pPr>
            <w:r w:rsidRPr="00EE3623">
              <w:rPr>
                <w:b/>
                <w:lang w:val="en-AU"/>
              </w:rPr>
              <w:t>1.</w:t>
            </w:r>
            <w:r w:rsidRPr="00EE3623">
              <w:rPr>
                <w:b/>
                <w:bCs/>
                <w:lang w:val="en-AU"/>
              </w:rPr>
              <w:t>36</w:t>
            </w:r>
          </w:p>
        </w:tc>
        <w:tc>
          <w:tcPr>
            <w:tcW w:w="1162" w:type="dxa"/>
            <w:shd w:val="clear" w:color="auto" w:fill="F2F2F2" w:themeFill="background1" w:themeFillShade="F2"/>
            <w:vAlign w:val="center"/>
          </w:tcPr>
          <w:p w14:paraId="0FF1CCCF" w14:textId="1270EEC1" w:rsidR="006D4D77" w:rsidRPr="00EE3623" w:rsidRDefault="00680B06" w:rsidP="005D1945">
            <w:pPr>
              <w:pStyle w:val="TableText"/>
              <w:jc w:val="right"/>
              <w:rPr>
                <w:lang w:val="en-AU"/>
              </w:rPr>
            </w:pPr>
            <w:r w:rsidRPr="00EE3623">
              <w:rPr>
                <w:lang w:val="en-AU"/>
              </w:rPr>
              <w:t>1.33</w:t>
            </w:r>
          </w:p>
        </w:tc>
        <w:tc>
          <w:tcPr>
            <w:tcW w:w="1162" w:type="dxa"/>
            <w:shd w:val="clear" w:color="auto" w:fill="F2F2F2" w:themeFill="background1" w:themeFillShade="F2"/>
            <w:vAlign w:val="center"/>
          </w:tcPr>
          <w:p w14:paraId="4A4AC803" w14:textId="6FA84EA1" w:rsidR="006D4D77" w:rsidRPr="00EE3623" w:rsidRDefault="00680B06" w:rsidP="005D1945">
            <w:pPr>
              <w:pStyle w:val="TableText"/>
              <w:jc w:val="right"/>
              <w:rPr>
                <w:lang w:val="en-AU"/>
              </w:rPr>
            </w:pPr>
            <w:r w:rsidRPr="00EE3623">
              <w:rPr>
                <w:lang w:val="en-AU"/>
              </w:rPr>
              <w:t>1.44</w:t>
            </w:r>
          </w:p>
        </w:tc>
      </w:tr>
      <w:tr w:rsidR="00C24932" w:rsidRPr="00EE3623" w14:paraId="5F0B4C57" w14:textId="77777777" w:rsidTr="001A446B">
        <w:trPr>
          <w:trHeight w:val="20"/>
        </w:trPr>
        <w:tc>
          <w:tcPr>
            <w:tcW w:w="2127" w:type="dxa"/>
            <w:vAlign w:val="center"/>
          </w:tcPr>
          <w:p w14:paraId="2B305A2F" w14:textId="77777777" w:rsidR="006D4D77" w:rsidRPr="00EE3623" w:rsidRDefault="006D4D77" w:rsidP="005D1945">
            <w:pPr>
              <w:pStyle w:val="TableText"/>
              <w:rPr>
                <w:lang w:val="en-AU"/>
              </w:rPr>
            </w:pPr>
            <w:r w:rsidRPr="00EE3623">
              <w:rPr>
                <w:lang w:val="en-AU"/>
              </w:rPr>
              <w:t>Tasmania</w:t>
            </w:r>
          </w:p>
        </w:tc>
        <w:tc>
          <w:tcPr>
            <w:tcW w:w="1134" w:type="dxa"/>
            <w:vAlign w:val="center"/>
          </w:tcPr>
          <w:p w14:paraId="790098B5" w14:textId="5C751BD0" w:rsidR="006D4D77" w:rsidRPr="00EE3623" w:rsidRDefault="006D4D77" w:rsidP="005D1945">
            <w:pPr>
              <w:pStyle w:val="TableText"/>
              <w:jc w:val="right"/>
              <w:rPr>
                <w:b/>
                <w:bCs/>
                <w:lang w:val="en-AU"/>
              </w:rPr>
            </w:pPr>
            <w:r w:rsidRPr="00EE3623">
              <w:rPr>
                <w:b/>
                <w:bCs/>
                <w:lang w:val="en-AU"/>
              </w:rPr>
              <w:t>1.5</w:t>
            </w:r>
            <w:r w:rsidR="006354B9" w:rsidRPr="00EE3623">
              <w:rPr>
                <w:b/>
                <w:bCs/>
                <w:lang w:val="en-AU"/>
              </w:rPr>
              <w:t>5</w:t>
            </w:r>
          </w:p>
        </w:tc>
        <w:tc>
          <w:tcPr>
            <w:tcW w:w="1134" w:type="dxa"/>
          </w:tcPr>
          <w:p w14:paraId="7B00DDF3" w14:textId="03215213" w:rsidR="0003563E" w:rsidRPr="00EE3623" w:rsidRDefault="0003563E" w:rsidP="0003563E">
            <w:pPr>
              <w:pStyle w:val="TableText"/>
              <w:jc w:val="right"/>
              <w:rPr>
                <w:bCs/>
                <w:lang w:val="en-AU"/>
              </w:rPr>
            </w:pPr>
            <w:r w:rsidRPr="00EE3623">
              <w:rPr>
                <w:bCs/>
                <w:lang w:val="en-AU"/>
              </w:rPr>
              <w:t>1.39</w:t>
            </w:r>
          </w:p>
        </w:tc>
        <w:tc>
          <w:tcPr>
            <w:tcW w:w="1134" w:type="dxa"/>
          </w:tcPr>
          <w:p w14:paraId="197FF950" w14:textId="1EFECC6A" w:rsidR="006D4D77" w:rsidRPr="00EE3623" w:rsidRDefault="0003563E" w:rsidP="005D1945">
            <w:pPr>
              <w:pStyle w:val="TableText"/>
              <w:jc w:val="right"/>
              <w:rPr>
                <w:bCs/>
                <w:lang w:val="en-AU"/>
              </w:rPr>
            </w:pPr>
            <w:r w:rsidRPr="00EE3623">
              <w:rPr>
                <w:bCs/>
                <w:lang w:val="en-AU"/>
              </w:rPr>
              <w:t>1.70</w:t>
            </w:r>
          </w:p>
        </w:tc>
        <w:tc>
          <w:tcPr>
            <w:tcW w:w="1162" w:type="dxa"/>
            <w:vAlign w:val="center"/>
          </w:tcPr>
          <w:p w14:paraId="26EF5D94" w14:textId="6E0A3AD5" w:rsidR="006D4D77" w:rsidRPr="00EE3623" w:rsidRDefault="006D4D77" w:rsidP="005D1945">
            <w:pPr>
              <w:pStyle w:val="TableText"/>
              <w:jc w:val="right"/>
              <w:rPr>
                <w:b/>
                <w:bCs/>
                <w:lang w:val="en-AU"/>
              </w:rPr>
            </w:pPr>
            <w:r w:rsidRPr="00EE3623">
              <w:rPr>
                <w:b/>
                <w:lang w:val="en-AU"/>
              </w:rPr>
              <w:t>1.</w:t>
            </w:r>
            <w:r w:rsidRPr="00EE3623">
              <w:rPr>
                <w:b/>
                <w:bCs/>
                <w:lang w:val="en-AU"/>
              </w:rPr>
              <w:t>36</w:t>
            </w:r>
          </w:p>
        </w:tc>
        <w:tc>
          <w:tcPr>
            <w:tcW w:w="1162" w:type="dxa"/>
            <w:vAlign w:val="center"/>
          </w:tcPr>
          <w:p w14:paraId="47E5BA20" w14:textId="4566716E" w:rsidR="006D4D77" w:rsidRPr="00EE3623" w:rsidRDefault="006E324D" w:rsidP="005D1945">
            <w:pPr>
              <w:pStyle w:val="TableText"/>
              <w:jc w:val="right"/>
              <w:rPr>
                <w:lang w:val="en-AU"/>
              </w:rPr>
            </w:pPr>
            <w:r w:rsidRPr="00EE3623">
              <w:rPr>
                <w:lang w:val="en-AU"/>
              </w:rPr>
              <w:t>1.34</w:t>
            </w:r>
          </w:p>
        </w:tc>
        <w:tc>
          <w:tcPr>
            <w:tcW w:w="1162" w:type="dxa"/>
            <w:vAlign w:val="center"/>
          </w:tcPr>
          <w:p w14:paraId="532242C7" w14:textId="6F00B295" w:rsidR="006D4D77" w:rsidRPr="00EE3623" w:rsidRDefault="006E324D" w:rsidP="005D1945">
            <w:pPr>
              <w:pStyle w:val="TableText"/>
              <w:jc w:val="right"/>
              <w:rPr>
                <w:lang w:val="en-AU"/>
              </w:rPr>
            </w:pPr>
            <w:r w:rsidRPr="00EE3623">
              <w:rPr>
                <w:lang w:val="en-AU"/>
              </w:rPr>
              <w:t>1.38</w:t>
            </w:r>
          </w:p>
        </w:tc>
      </w:tr>
      <w:tr w:rsidR="00C24932" w:rsidRPr="00EE3623" w14:paraId="3218D511" w14:textId="77777777" w:rsidTr="003A5302">
        <w:trPr>
          <w:trHeight w:val="20"/>
        </w:trPr>
        <w:tc>
          <w:tcPr>
            <w:tcW w:w="2127" w:type="dxa"/>
            <w:tcBorders>
              <w:bottom w:val="single" w:sz="4" w:space="0" w:color="auto"/>
            </w:tcBorders>
            <w:shd w:val="clear" w:color="auto" w:fill="F2F2F2" w:themeFill="background1" w:themeFillShade="F2"/>
            <w:vAlign w:val="center"/>
          </w:tcPr>
          <w:p w14:paraId="1EF669CD" w14:textId="5111767F" w:rsidR="00F625DA" w:rsidRPr="00EE3623" w:rsidRDefault="00F625DA" w:rsidP="00F625DA">
            <w:pPr>
              <w:pStyle w:val="TableText"/>
              <w:rPr>
                <w:lang w:val="en-AU"/>
              </w:rPr>
            </w:pPr>
            <w:r w:rsidRPr="00EE3623">
              <w:rPr>
                <w:lang w:val="en-AU"/>
              </w:rPr>
              <w:t xml:space="preserve">Northern </w:t>
            </w:r>
            <w:proofErr w:type="spellStart"/>
            <w:r w:rsidRPr="00EE3623">
              <w:rPr>
                <w:lang w:val="en-AU"/>
              </w:rPr>
              <w:t>Territory</w:t>
            </w:r>
            <w:r w:rsidR="00B126EF" w:rsidRPr="00EE3623">
              <w:rPr>
                <w:vertAlign w:val="superscript"/>
                <w:lang w:val="en-AU"/>
              </w:rPr>
              <w:t>b</w:t>
            </w:r>
            <w:proofErr w:type="spellEnd"/>
          </w:p>
        </w:tc>
        <w:tc>
          <w:tcPr>
            <w:tcW w:w="1134" w:type="dxa"/>
            <w:tcBorders>
              <w:bottom w:val="single" w:sz="4" w:space="0" w:color="auto"/>
            </w:tcBorders>
            <w:shd w:val="clear" w:color="auto" w:fill="F2F2F2" w:themeFill="background1" w:themeFillShade="F2"/>
            <w:vAlign w:val="center"/>
          </w:tcPr>
          <w:p w14:paraId="6E45978A" w14:textId="7F84AF55" w:rsidR="00F625DA" w:rsidRPr="00EE3623" w:rsidRDefault="00F625DA" w:rsidP="00F625DA">
            <w:pPr>
              <w:pStyle w:val="TableText"/>
              <w:jc w:val="right"/>
              <w:rPr>
                <w:b/>
                <w:bCs/>
                <w:lang w:val="en-AU"/>
              </w:rPr>
            </w:pPr>
            <w:r w:rsidRPr="00EE3623">
              <w:rPr>
                <w:b/>
                <w:bCs/>
                <w:lang w:val="en-AU"/>
              </w:rPr>
              <w:t>1.6</w:t>
            </w:r>
            <w:r w:rsidR="006354B9" w:rsidRPr="00EE3623">
              <w:rPr>
                <w:b/>
                <w:bCs/>
                <w:lang w:val="en-AU"/>
              </w:rPr>
              <w:t>4</w:t>
            </w:r>
          </w:p>
        </w:tc>
        <w:tc>
          <w:tcPr>
            <w:tcW w:w="1134" w:type="dxa"/>
            <w:tcBorders>
              <w:bottom w:val="single" w:sz="4" w:space="0" w:color="auto"/>
            </w:tcBorders>
            <w:shd w:val="clear" w:color="auto" w:fill="F2F2F2" w:themeFill="background1" w:themeFillShade="F2"/>
          </w:tcPr>
          <w:p w14:paraId="0DBFBD65" w14:textId="0DBEBCDF" w:rsidR="00F625DA" w:rsidRPr="00EE3623" w:rsidRDefault="00F625DA" w:rsidP="00F625DA">
            <w:pPr>
              <w:pStyle w:val="TableText"/>
              <w:jc w:val="right"/>
              <w:rPr>
                <w:bCs/>
                <w:lang w:val="en-AU"/>
              </w:rPr>
            </w:pPr>
            <w:r w:rsidRPr="00EE3623">
              <w:rPr>
                <w:bCs/>
                <w:lang w:val="en-AU"/>
              </w:rPr>
              <w:t>1.62</w:t>
            </w:r>
          </w:p>
        </w:tc>
        <w:tc>
          <w:tcPr>
            <w:tcW w:w="1134" w:type="dxa"/>
            <w:tcBorders>
              <w:bottom w:val="single" w:sz="4" w:space="0" w:color="auto"/>
            </w:tcBorders>
            <w:shd w:val="clear" w:color="auto" w:fill="F2F2F2" w:themeFill="background1" w:themeFillShade="F2"/>
          </w:tcPr>
          <w:p w14:paraId="72C1F4B6" w14:textId="69606158" w:rsidR="00F625DA" w:rsidRPr="00EE3623" w:rsidRDefault="00F625DA" w:rsidP="00F625DA">
            <w:pPr>
              <w:pStyle w:val="TableText"/>
              <w:jc w:val="right"/>
              <w:rPr>
                <w:bCs/>
                <w:lang w:val="en-AU"/>
              </w:rPr>
            </w:pPr>
            <w:r w:rsidRPr="00EE3623">
              <w:rPr>
                <w:bCs/>
                <w:lang w:val="en-AU"/>
              </w:rPr>
              <w:t>1.62</w:t>
            </w:r>
          </w:p>
        </w:tc>
        <w:tc>
          <w:tcPr>
            <w:tcW w:w="1162" w:type="dxa"/>
            <w:tcBorders>
              <w:bottom w:val="single" w:sz="4" w:space="0" w:color="auto"/>
            </w:tcBorders>
            <w:shd w:val="clear" w:color="auto" w:fill="F2F2F2" w:themeFill="background1" w:themeFillShade="F2"/>
            <w:vAlign w:val="center"/>
          </w:tcPr>
          <w:p w14:paraId="7ED38091" w14:textId="72278FBB" w:rsidR="00F625DA" w:rsidRPr="00EE3623" w:rsidRDefault="00F625DA" w:rsidP="00F625DA">
            <w:pPr>
              <w:pStyle w:val="TableText"/>
              <w:jc w:val="right"/>
              <w:rPr>
                <w:b/>
                <w:bCs/>
                <w:lang w:val="en-AU"/>
              </w:rPr>
            </w:pPr>
            <w:r w:rsidRPr="00EE3623">
              <w:rPr>
                <w:b/>
                <w:lang w:val="en-AU"/>
              </w:rPr>
              <w:t>1.44</w:t>
            </w:r>
          </w:p>
        </w:tc>
        <w:tc>
          <w:tcPr>
            <w:tcW w:w="1162" w:type="dxa"/>
            <w:tcBorders>
              <w:bottom w:val="single" w:sz="4" w:space="0" w:color="auto"/>
            </w:tcBorders>
            <w:shd w:val="clear" w:color="auto" w:fill="F2F2F2" w:themeFill="background1" w:themeFillShade="F2"/>
            <w:vAlign w:val="center"/>
          </w:tcPr>
          <w:p w14:paraId="12F82933" w14:textId="1500514C" w:rsidR="00F625DA" w:rsidRPr="00EE3623" w:rsidRDefault="006E324D" w:rsidP="00F625DA">
            <w:pPr>
              <w:pStyle w:val="TableText"/>
              <w:jc w:val="right"/>
              <w:rPr>
                <w:lang w:val="en-AU"/>
              </w:rPr>
            </w:pPr>
            <w:r w:rsidRPr="00EE3623">
              <w:rPr>
                <w:lang w:val="en-AU"/>
              </w:rPr>
              <w:t>1.44</w:t>
            </w:r>
          </w:p>
        </w:tc>
        <w:tc>
          <w:tcPr>
            <w:tcW w:w="1162" w:type="dxa"/>
            <w:tcBorders>
              <w:bottom w:val="single" w:sz="4" w:space="0" w:color="auto"/>
            </w:tcBorders>
            <w:shd w:val="clear" w:color="auto" w:fill="F2F2F2" w:themeFill="background1" w:themeFillShade="F2"/>
            <w:vAlign w:val="center"/>
          </w:tcPr>
          <w:p w14:paraId="55513A01" w14:textId="7D57E5B0" w:rsidR="00F625DA" w:rsidRPr="00EE3623" w:rsidRDefault="006E324D" w:rsidP="00F625DA">
            <w:pPr>
              <w:pStyle w:val="TableText"/>
              <w:jc w:val="right"/>
              <w:rPr>
                <w:lang w:val="en-AU"/>
              </w:rPr>
            </w:pPr>
            <w:r w:rsidRPr="00EE3623">
              <w:rPr>
                <w:lang w:val="en-AU"/>
              </w:rPr>
              <w:t>1.43</w:t>
            </w:r>
          </w:p>
        </w:tc>
      </w:tr>
    </w:tbl>
    <w:p w14:paraId="7AB95DF9" w14:textId="77777777" w:rsidR="001A446B" w:rsidRDefault="00D17EF0" w:rsidP="001A446B">
      <w:pPr>
        <w:pStyle w:val="Source"/>
        <w:spacing w:after="0"/>
      </w:pPr>
      <w:r w:rsidRPr="00EE3623">
        <w:t xml:space="preserve">Note: </w:t>
      </w:r>
    </w:p>
    <w:p w14:paraId="20F3DD81" w14:textId="59711783" w:rsidR="008F00E3" w:rsidRPr="001A446B" w:rsidRDefault="008F00E3" w:rsidP="001A446B">
      <w:pPr>
        <w:pStyle w:val="Source"/>
        <w:numPr>
          <w:ilvl w:val="0"/>
          <w:numId w:val="41"/>
        </w:numPr>
        <w:spacing w:after="0"/>
        <w:ind w:left="284" w:hanging="284"/>
      </w:pPr>
      <w:r w:rsidRPr="00EE3623">
        <w:t>For GCCSA data was provided only up to 2022</w:t>
      </w:r>
      <w:r w:rsidR="0071623D" w:rsidRPr="0071623D">
        <w:t>–</w:t>
      </w:r>
      <w:r w:rsidRPr="00EE3623">
        <w:t>23, so the State level values refer also to 2022</w:t>
      </w:r>
      <w:r w:rsidR="0071623D" w:rsidRPr="0071623D">
        <w:t>–</w:t>
      </w:r>
      <w:r w:rsidRPr="00EE3623">
        <w:t>23 and therefore differ from Table S1 which refer to 2023</w:t>
      </w:r>
      <w:r w:rsidR="0071623D" w:rsidRPr="0071623D">
        <w:t>–</w:t>
      </w:r>
      <w:r w:rsidR="00C24932" w:rsidRPr="00EE3623">
        <w:t>24.</w:t>
      </w:r>
    </w:p>
    <w:p w14:paraId="0035C290" w14:textId="1728978F" w:rsidR="00A13BF1" w:rsidRPr="00EE3623" w:rsidRDefault="00D17EF0" w:rsidP="001A446B">
      <w:pPr>
        <w:pStyle w:val="Source"/>
        <w:numPr>
          <w:ilvl w:val="0"/>
          <w:numId w:val="41"/>
        </w:numPr>
        <w:ind w:left="284" w:hanging="284"/>
      </w:pPr>
      <w:r w:rsidRPr="00EE3623">
        <w:t>In 2022</w:t>
      </w:r>
      <w:r w:rsidR="0071623D" w:rsidRPr="0071623D">
        <w:t>–</w:t>
      </w:r>
      <w:r w:rsidRPr="00EE3623">
        <w:t xml:space="preserve">23, </w:t>
      </w:r>
      <w:r w:rsidR="009C767C" w:rsidRPr="00EE3623">
        <w:t>the TFR calculated for Darwin was 1.617, and for the rest of the Northern Territory it was 1.62</w:t>
      </w:r>
      <w:r w:rsidR="00A13BF1" w:rsidRPr="00EE3623">
        <w:t xml:space="preserve">2. Both these values are lower than the overall level for the Northern Territory at 1.64. This is an example of Simpson’s Paradox which is </w:t>
      </w:r>
      <w:r w:rsidR="00002026" w:rsidRPr="00EE3623">
        <w:t>explained</w:t>
      </w:r>
      <w:r w:rsidR="00A13BF1" w:rsidRPr="00EE3623">
        <w:t xml:space="preserve"> in the Technical Appendix. </w:t>
      </w:r>
    </w:p>
    <w:p w14:paraId="678FAAD9" w14:textId="7231FE59" w:rsidR="002B0219" w:rsidRPr="00EE3623" w:rsidRDefault="00BD7956" w:rsidP="001A446B">
      <w:pPr>
        <w:pStyle w:val="Source"/>
        <w:rPr>
          <w:rFonts w:asciiTheme="majorHAnsi" w:eastAsiaTheme="majorEastAsia" w:hAnsiTheme="majorHAnsi" w:cstheme="majorBidi"/>
          <w:color w:val="8E610A" w:themeColor="accent1" w:themeShade="BF"/>
        </w:rPr>
      </w:pPr>
      <w:r w:rsidRPr="00EE3623">
        <w:t xml:space="preserve">Source: </w:t>
      </w:r>
      <w:r w:rsidR="0049124D" w:rsidRPr="00EE3623">
        <w:t>Data for 2022</w:t>
      </w:r>
      <w:r w:rsidR="0071623D" w:rsidRPr="0071623D">
        <w:t>–</w:t>
      </w:r>
      <w:r w:rsidR="0049124D" w:rsidRPr="00EE3623">
        <w:t xml:space="preserve">23 based on data supplied by Centre for Population. </w:t>
      </w:r>
      <w:r w:rsidR="002B0219" w:rsidRPr="00EE3623">
        <w:br w:type="page"/>
      </w:r>
    </w:p>
    <w:p w14:paraId="59DB541E" w14:textId="3C909C3E" w:rsidR="00AA6FB6" w:rsidRPr="00EE3623" w:rsidRDefault="00794B8E" w:rsidP="00B1119B">
      <w:pPr>
        <w:pStyle w:val="Heading1"/>
      </w:pPr>
      <w:bookmarkStart w:id="6" w:name="_Toc238734061"/>
      <w:r w:rsidRPr="00EE3623">
        <w:lastRenderedPageBreak/>
        <w:t>S</w:t>
      </w:r>
      <w:r w:rsidR="008C4901" w:rsidRPr="00EE3623">
        <w:t>3.</w:t>
      </w:r>
      <w:r w:rsidR="005C7460">
        <w:t> </w:t>
      </w:r>
      <w:r w:rsidR="00AA6FB6" w:rsidRPr="00EE3623">
        <w:t>Aboriginal and</w:t>
      </w:r>
      <w:r w:rsidR="00853157" w:rsidRPr="00EE3623">
        <w:t>/or</w:t>
      </w:r>
      <w:r w:rsidR="00AA6FB6" w:rsidRPr="00EE3623">
        <w:t xml:space="preserve"> Torres Strait Islander fertility</w:t>
      </w:r>
      <w:bookmarkEnd w:id="6"/>
    </w:p>
    <w:p w14:paraId="64343E64" w14:textId="716637D2" w:rsidR="00172DC8" w:rsidRPr="00EE3623" w:rsidRDefault="00172DC8" w:rsidP="000F5DC4">
      <w:r w:rsidRPr="00EE3623">
        <w:t xml:space="preserve">Another important differential in fertility rates is </w:t>
      </w:r>
      <w:r w:rsidR="00F804AA" w:rsidRPr="00EE3623">
        <w:t>by Aboriginal and</w:t>
      </w:r>
      <w:r w:rsidR="00853157" w:rsidRPr="00EE3623">
        <w:t>/or</w:t>
      </w:r>
      <w:r w:rsidR="00F804AA" w:rsidRPr="00EE3623">
        <w:t xml:space="preserve"> Torres Strait Islander identification</w:t>
      </w:r>
      <w:r w:rsidR="00730C2A" w:rsidRPr="00EE3623">
        <w:t xml:space="preserve">. </w:t>
      </w:r>
      <w:r w:rsidR="001025B2" w:rsidRPr="00EE3623">
        <w:t xml:space="preserve">According to </w:t>
      </w:r>
      <w:r w:rsidR="00051AF5" w:rsidRPr="00EE3623">
        <w:t xml:space="preserve">last </w:t>
      </w:r>
      <w:r w:rsidR="001025B2" w:rsidRPr="00EE3623">
        <w:t>Census estimates, there were 984,000 Aboriginal and</w:t>
      </w:r>
      <w:r w:rsidR="00853157" w:rsidRPr="00EE3623">
        <w:t>/or</w:t>
      </w:r>
      <w:r w:rsidR="001025B2" w:rsidRPr="00EE3623">
        <w:t xml:space="preserve"> Torres Strait Islander peoples in Australia </w:t>
      </w:r>
      <w:proofErr w:type="gramStart"/>
      <w:r w:rsidR="001025B2" w:rsidRPr="00EE3623">
        <w:t>at</w:t>
      </w:r>
      <w:proofErr w:type="gramEnd"/>
      <w:r w:rsidR="001025B2" w:rsidRPr="00EE3623">
        <w:t xml:space="preserve"> 30 June 2021</w:t>
      </w:r>
      <w:r w:rsidR="00051AF5" w:rsidRPr="00EE3623">
        <w:t>,</w:t>
      </w:r>
      <w:r w:rsidR="00A2690B" w:rsidRPr="00EE3623">
        <w:t xml:space="preserve"> making up 3.8% of the total population counted</w:t>
      </w:r>
      <w:r w:rsidR="001025B2" w:rsidRPr="00EE3623">
        <w:t xml:space="preserve"> </w:t>
      </w:r>
      <w:r w:rsidR="00A2690B" w:rsidRPr="00EE3623">
        <w:t>(</w:t>
      </w:r>
      <w:r w:rsidR="001025B2" w:rsidRPr="00EE3623">
        <w:t>ABS 202</w:t>
      </w:r>
      <w:r w:rsidR="00E954D6" w:rsidRPr="00EE3623">
        <w:t>1</w:t>
      </w:r>
      <w:r w:rsidR="009C3C8A" w:rsidRPr="00EE3623">
        <w:t>b</w:t>
      </w:r>
      <w:r w:rsidR="001025B2" w:rsidRPr="00EE3623">
        <w:t>)</w:t>
      </w:r>
      <w:r w:rsidR="00A2690B" w:rsidRPr="00EE3623">
        <w:t>.</w:t>
      </w:r>
    </w:p>
    <w:p w14:paraId="65BBEDF7" w14:textId="712C92B7" w:rsidR="009E40F9" w:rsidRPr="00EE3623" w:rsidRDefault="00B6655F" w:rsidP="000F5DC4">
      <w:r w:rsidRPr="00EE3623">
        <w:t>Unfortunately,</w:t>
      </w:r>
      <w:r w:rsidR="00CE2F6C" w:rsidRPr="00EE3623">
        <w:t xml:space="preserve"> it is not possible to </w:t>
      </w:r>
      <w:r w:rsidR="0042453F" w:rsidRPr="00EE3623">
        <w:t>build</w:t>
      </w:r>
      <w:r w:rsidR="00CE2F6C" w:rsidRPr="00EE3623">
        <w:t xml:space="preserve"> a </w:t>
      </w:r>
      <w:r w:rsidR="00DC1773" w:rsidRPr="00EE3623">
        <w:t xml:space="preserve">reliable picture of recent historical trends in </w:t>
      </w:r>
      <w:r w:rsidR="008A28AD" w:rsidRPr="00EE3623">
        <w:t xml:space="preserve">fertility rates of Aboriginal </w:t>
      </w:r>
      <w:r w:rsidR="00F51DC1" w:rsidRPr="00EE3623">
        <w:t>and/or Torres</w:t>
      </w:r>
      <w:r w:rsidR="008A28AD" w:rsidRPr="00EE3623">
        <w:t xml:space="preserve"> Strait Islander </w:t>
      </w:r>
      <w:r w:rsidR="0042453F" w:rsidRPr="00EE3623">
        <w:t>fertility rates</w:t>
      </w:r>
      <w:r w:rsidR="008A28AD" w:rsidRPr="00EE3623">
        <w:t xml:space="preserve"> </w:t>
      </w:r>
      <w:r w:rsidR="00CE2F6C" w:rsidRPr="00EE3623">
        <w:t xml:space="preserve">due to </w:t>
      </w:r>
      <w:r w:rsidR="00C42169" w:rsidRPr="00EE3623">
        <w:t xml:space="preserve">data quality </w:t>
      </w:r>
      <w:r w:rsidR="00A84A15" w:rsidRPr="00EE3623">
        <w:t>issues</w:t>
      </w:r>
      <w:r w:rsidR="0042453F" w:rsidRPr="00EE3623">
        <w:t xml:space="preserve">, which </w:t>
      </w:r>
      <w:r w:rsidR="00FC03EF" w:rsidRPr="00EE3623">
        <w:t xml:space="preserve">affect data for both births and the estimated resident population which represent the </w:t>
      </w:r>
      <w:r w:rsidR="004E707C" w:rsidRPr="00EE3623">
        <w:t xml:space="preserve">numerator and denominator, respectively, needed to calculate fertility rates. </w:t>
      </w:r>
      <w:r w:rsidR="009F3CFF" w:rsidRPr="00EE3623">
        <w:t xml:space="preserve">The data quality issues include </w:t>
      </w:r>
      <w:r w:rsidR="00924856" w:rsidRPr="00EE3623">
        <w:t xml:space="preserve">undercounts, non-response, poor understanding of </w:t>
      </w:r>
      <w:r w:rsidR="004E707C" w:rsidRPr="00EE3623">
        <w:t>identification,</w:t>
      </w:r>
      <w:r w:rsidR="00403A10" w:rsidRPr="00EE3623">
        <w:t xml:space="preserve"> </w:t>
      </w:r>
      <w:r w:rsidR="00987247" w:rsidRPr="00EE3623">
        <w:t xml:space="preserve">and </w:t>
      </w:r>
      <w:r w:rsidR="00CE11A5" w:rsidRPr="00EE3623">
        <w:t xml:space="preserve">these </w:t>
      </w:r>
      <w:r w:rsidR="00C263BD" w:rsidRPr="00EE3623">
        <w:t xml:space="preserve">elements </w:t>
      </w:r>
      <w:r w:rsidR="00987247" w:rsidRPr="00EE3623">
        <w:t xml:space="preserve">vary in severity </w:t>
      </w:r>
      <w:r w:rsidR="00172DC8" w:rsidRPr="00EE3623">
        <w:t xml:space="preserve">across indicators, over time, </w:t>
      </w:r>
      <w:r w:rsidR="009F3CFF" w:rsidRPr="00EE3623">
        <w:t xml:space="preserve">and </w:t>
      </w:r>
      <w:r w:rsidR="00BD5A45" w:rsidRPr="00EE3623">
        <w:t xml:space="preserve">across jurisdictions and data collection </w:t>
      </w:r>
      <w:r w:rsidR="00987247" w:rsidRPr="00EE3623">
        <w:t>authorities (</w:t>
      </w:r>
      <w:r w:rsidR="001820BA" w:rsidRPr="00EE3623">
        <w:t>Johnstone 20</w:t>
      </w:r>
      <w:r w:rsidR="00175FFA" w:rsidRPr="00EE3623">
        <w:t>10</w:t>
      </w:r>
      <w:r w:rsidR="00172DC8" w:rsidRPr="00EE3623">
        <w:t>; Biddle &amp; Johnstone 2014; Carmichael 2019</w:t>
      </w:r>
      <w:r w:rsidR="001820BA" w:rsidRPr="00EE3623">
        <w:t>)</w:t>
      </w:r>
      <w:r w:rsidR="00BA1970" w:rsidRPr="00EE3623">
        <w:t xml:space="preserve">. </w:t>
      </w:r>
    </w:p>
    <w:p w14:paraId="573DB852" w14:textId="56057170" w:rsidR="00D119A2" w:rsidRPr="00EE3623" w:rsidRDefault="009270A3" w:rsidP="0072484E">
      <w:r w:rsidRPr="00EE3623">
        <w:t xml:space="preserve">According to the </w:t>
      </w:r>
      <w:r w:rsidR="001559BB" w:rsidRPr="00EE3623">
        <w:t xml:space="preserve">latest data from the Australian Bureau of Statistics, the Total Fertility </w:t>
      </w:r>
      <w:r w:rsidR="00500335" w:rsidRPr="00EE3623">
        <w:t>Rate for</w:t>
      </w:r>
      <w:r w:rsidR="001559BB" w:rsidRPr="00EE3623">
        <w:t xml:space="preserve"> Aboriginal </w:t>
      </w:r>
      <w:r w:rsidR="00F51DC1" w:rsidRPr="00EE3623">
        <w:t>and/or Torres</w:t>
      </w:r>
      <w:r w:rsidR="001559BB" w:rsidRPr="00EE3623">
        <w:t xml:space="preserve"> Strait Islander women has increased from </w:t>
      </w:r>
      <w:r w:rsidR="00033B96" w:rsidRPr="00EE3623">
        <w:t>2.04 children per woman in 2013, to 2.17 children per woman in 2023 (ABS 2024a). However, as the ABS cautions</w:t>
      </w:r>
      <w:r w:rsidR="00C263BD" w:rsidRPr="00EE3623">
        <w:t>,</w:t>
      </w:r>
      <w:r w:rsidR="00033B96" w:rsidRPr="00EE3623">
        <w:t xml:space="preserve"> this</w:t>
      </w:r>
      <w:r w:rsidR="003662E1" w:rsidRPr="00EE3623">
        <w:t xml:space="preserve"> increase should be interpreted with caution as it is likely </w:t>
      </w:r>
      <w:r w:rsidR="00DA3F19" w:rsidRPr="00EE3623">
        <w:t xml:space="preserve">impacted by changes over time in the completeness and coverage of birth registration data. </w:t>
      </w:r>
    </w:p>
    <w:p w14:paraId="65D0E16F" w14:textId="70FEB655" w:rsidR="008D460D" w:rsidRPr="00EE3623" w:rsidRDefault="008D460D" w:rsidP="0076491B">
      <w:r w:rsidRPr="00EE3623">
        <w:t xml:space="preserve">In this report, the base historical fertility trends that informed the projections were constructed using birth data from the Australian Institute of Health and Welfare (AIHW) and Estimated Resident Population (ERP) data from the Australian Bureau of Statistics (ABS). </w:t>
      </w:r>
      <w:r w:rsidR="0090773C" w:rsidRPr="00EE3623">
        <w:t>The resulting fertility rates reported here are therefore not equivalent to, and should not be directly compared with, those published by other sources, including the ABS. Our TFR estimates are lower than those of the ABS in recent years. For example, for 2022 we calculate a TFR of 2.04, compared to 2.</w:t>
      </w:r>
      <w:r w:rsidR="00422BDB" w:rsidRPr="00EE3623">
        <w:t>16</w:t>
      </w:r>
      <w:r w:rsidR="0090773C" w:rsidRPr="00EE3623">
        <w:t xml:space="preserve"> published by the ABS (2024a). </w:t>
      </w:r>
      <w:r w:rsidRPr="00EE3623">
        <w:t xml:space="preserve">Further details on the data used is available in the Technical Appendix. </w:t>
      </w:r>
    </w:p>
    <w:p w14:paraId="59BE303C" w14:textId="05B57068" w:rsidR="00D119A2" w:rsidRPr="00EE3623" w:rsidRDefault="00553A72" w:rsidP="00D119A2">
      <w:r w:rsidRPr="00EE3623">
        <w:t xml:space="preserve">While the overall trends may be difficult to ascertain with certainty, there is more </w:t>
      </w:r>
      <w:r w:rsidR="0072484E" w:rsidRPr="00EE3623">
        <w:t xml:space="preserve">confidence in other significant changes </w:t>
      </w:r>
      <w:r w:rsidR="005D4560" w:rsidRPr="00EE3623">
        <w:t xml:space="preserve">such as substantial </w:t>
      </w:r>
      <w:r w:rsidR="00AA6FB6" w:rsidRPr="00EE3623">
        <w:t>decline</w:t>
      </w:r>
      <w:r w:rsidR="005D4560" w:rsidRPr="00EE3623">
        <w:t>s</w:t>
      </w:r>
      <w:r w:rsidR="00AA6FB6" w:rsidRPr="00EE3623">
        <w:t xml:space="preserve"> in teenage fertility and a shift towards childbearing at older ages</w:t>
      </w:r>
      <w:r w:rsidR="005D4560" w:rsidRPr="00EE3623">
        <w:t xml:space="preserve"> (Carmichael 2019</w:t>
      </w:r>
      <w:r w:rsidR="006944BA" w:rsidRPr="00EE3623">
        <w:t>; Venn &amp; Dinku 2019</w:t>
      </w:r>
      <w:r w:rsidR="005D4560" w:rsidRPr="00EE3623">
        <w:t>).</w:t>
      </w:r>
      <w:r w:rsidR="0055337C" w:rsidRPr="00EE3623">
        <w:t xml:space="preserve"> </w:t>
      </w:r>
      <w:r w:rsidR="00D119A2" w:rsidRPr="00EE3623">
        <w:t>A</w:t>
      </w:r>
      <w:r w:rsidR="001E7284" w:rsidRPr="00EE3623">
        <w:t>s shown in Figure S6. A</w:t>
      </w:r>
      <w:r w:rsidR="00D119A2" w:rsidRPr="00EE3623">
        <w:t xml:space="preserve">boriginal </w:t>
      </w:r>
      <w:r w:rsidR="00F51DC1" w:rsidRPr="00EE3623">
        <w:t>and/or Torres</w:t>
      </w:r>
      <w:r w:rsidR="00D119A2" w:rsidRPr="00EE3623">
        <w:t xml:space="preserve"> Strait Islander women tend to have children at younger ages compared to the broader Australian population. This represents a fundamental difference in childbearing patterns that has remained </w:t>
      </w:r>
      <w:r w:rsidR="008A714D" w:rsidRPr="00EE3623">
        <w:t xml:space="preserve">relatively </w:t>
      </w:r>
      <w:r w:rsidR="00D119A2" w:rsidRPr="00EE3623">
        <w:t>consistent over recent years.</w:t>
      </w:r>
    </w:p>
    <w:p w14:paraId="1B618A00" w14:textId="0D588ECA" w:rsidR="00D119A2" w:rsidRPr="002D09C3" w:rsidRDefault="00D119A2" w:rsidP="002D09C3">
      <w:pPr>
        <w:keepNext/>
        <w:rPr>
          <w:rStyle w:val="Strong"/>
        </w:rPr>
      </w:pPr>
      <w:r w:rsidRPr="002D09C3">
        <w:rPr>
          <w:rStyle w:val="Strong"/>
        </w:rPr>
        <w:lastRenderedPageBreak/>
        <w:t>Figure</w:t>
      </w:r>
      <w:r w:rsidR="005C7460" w:rsidRPr="002D09C3">
        <w:rPr>
          <w:rStyle w:val="Strong"/>
        </w:rPr>
        <w:t> </w:t>
      </w:r>
      <w:r w:rsidRPr="002D09C3">
        <w:rPr>
          <w:rStyle w:val="Strong"/>
        </w:rPr>
        <w:t>S</w:t>
      </w:r>
      <w:r w:rsidR="00F75728" w:rsidRPr="002D09C3">
        <w:rPr>
          <w:rStyle w:val="Strong"/>
        </w:rPr>
        <w:fldChar w:fldCharType="begin"/>
      </w:r>
      <w:r w:rsidR="00F75728" w:rsidRPr="002D09C3">
        <w:rPr>
          <w:rStyle w:val="Strong"/>
        </w:rPr>
        <w:instrText xml:space="preserve"> SEQ Figure_S \* ARABIC </w:instrText>
      </w:r>
      <w:r w:rsidR="00F75728" w:rsidRPr="002D09C3">
        <w:rPr>
          <w:rStyle w:val="Strong"/>
        </w:rPr>
        <w:fldChar w:fldCharType="separate"/>
      </w:r>
      <w:r w:rsidR="00F75728" w:rsidRPr="002D09C3">
        <w:rPr>
          <w:rStyle w:val="Strong"/>
        </w:rPr>
        <w:t>6</w:t>
      </w:r>
      <w:r w:rsidR="00F75728" w:rsidRPr="002D09C3">
        <w:rPr>
          <w:rStyle w:val="Strong"/>
        </w:rPr>
        <w:fldChar w:fldCharType="end"/>
      </w:r>
      <w:r w:rsidRPr="002D09C3">
        <w:rPr>
          <w:rStyle w:val="Strong"/>
        </w:rPr>
        <w:t xml:space="preserve">: Age-specific fertility rates for </w:t>
      </w:r>
      <w:r w:rsidR="001E7284" w:rsidRPr="002D09C3">
        <w:rPr>
          <w:rStyle w:val="Strong"/>
        </w:rPr>
        <w:t>t</w:t>
      </w:r>
      <w:r w:rsidRPr="002D09C3">
        <w:rPr>
          <w:rStyle w:val="Strong"/>
        </w:rPr>
        <w:t xml:space="preserve">otal population and for Aboriginal </w:t>
      </w:r>
      <w:r w:rsidR="00F51DC1" w:rsidRPr="002D09C3">
        <w:rPr>
          <w:rStyle w:val="Strong"/>
        </w:rPr>
        <w:t>and/or Torres</w:t>
      </w:r>
      <w:r w:rsidRPr="002D09C3">
        <w:rPr>
          <w:rStyle w:val="Strong"/>
        </w:rPr>
        <w:t xml:space="preserve"> Strait Islander </w:t>
      </w:r>
      <w:r w:rsidR="000F5DC4" w:rsidRPr="002D09C3">
        <w:rPr>
          <w:rStyle w:val="Strong"/>
        </w:rPr>
        <w:t>women,</w:t>
      </w:r>
      <w:r w:rsidRPr="002D09C3">
        <w:rPr>
          <w:rStyle w:val="Strong"/>
        </w:rPr>
        <w:t xml:space="preserve"> </w:t>
      </w:r>
      <w:r w:rsidR="001E7284" w:rsidRPr="002D09C3">
        <w:rPr>
          <w:rStyle w:val="Strong"/>
        </w:rPr>
        <w:t>2006, 2016 and 2022.</w:t>
      </w:r>
    </w:p>
    <w:p w14:paraId="6CFC22E6" w14:textId="4E917E94" w:rsidR="00411148" w:rsidRPr="00EE3623" w:rsidRDefault="00C711AD" w:rsidP="0072484E">
      <w:r w:rsidRPr="00EE3623">
        <w:rPr>
          <w:noProof/>
        </w:rPr>
        <w:drawing>
          <wp:inline distT="0" distB="0" distL="0" distR="0" wp14:anchorId="3EB1DE9D" wp14:editId="61C520AA">
            <wp:extent cx="5497252" cy="3298476"/>
            <wp:effectExtent l="0" t="0" r="8255" b="0"/>
            <wp:docPr id="756860739" name="Graphic 5" descr="Line graph with six lines, grouped into two sets of three lines each.  The first of the two sets is for the total population (grey tones) and the second set is for Aboriginal and/or Torres Strait Islander women (orange tones). The x-axis shows five-year age groups from 15–19 to 45–49. The y-axis shows age-specific fertility rate (ASFR) per 1,000.  Each set includes lines for the years 2006 (dotted), 2016 (dashed), and 2022 (solid). For all years, fertility peaks between ages 25–34. Aboriginal and/or Torres Strait Islander women have higher fertility at younger ages (15–24) and lower fertility at older ages (30–39) compared to the total population. Over time, the Aboriginal and/or Torres Strait Islander fertility schedule shifts to older ages, with a decline in teenage fertility from 2006 t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60739" name="Graphic 5" descr="Line graph with six lines, grouped into two sets of three lines each.  The first of the two sets is for the total population (grey tones) and the second set is for Aboriginal and/or Torres Strait Islander women (orange tones). The x-axis shows five-year age groups from 15–19 to 45–49. The y-axis shows age-specific fertility rate (ASFR) per 1,000.  Each set includes lines for the years 2006 (dotted), 2016 (dashed), and 2022 (solid). For all years, fertility peaks between ages 25–34. Aboriginal and/or Torres Strait Islander women have higher fertility at younger ages (15–24) and lower fertility at older ages (30–39) compared to the total population. Over time, the Aboriginal and/or Torres Strait Islander fertility schedule shifts to older ages, with a decline in teenage fertility from 2006 to 2022."/>
                    <pic:cNvPicPr/>
                  </pic:nvPicPr>
                  <pic:blipFill>
                    <a:blip r:embed="rId19">
                      <a:extLst>
                        <a:ext uri="{96DAC541-7B7A-43D3-8B79-37D633B846F1}">
                          <asvg:svgBlip xmlns:asvg="http://schemas.microsoft.com/office/drawing/2016/SVG/main" r:embed="rId20"/>
                        </a:ext>
                      </a:extLst>
                    </a:blip>
                    <a:stretch>
                      <a:fillRect/>
                    </a:stretch>
                  </pic:blipFill>
                  <pic:spPr>
                    <a:xfrm>
                      <a:off x="0" y="0"/>
                      <a:ext cx="5497729" cy="3298762"/>
                    </a:xfrm>
                    <a:prstGeom prst="rect">
                      <a:avLst/>
                    </a:prstGeom>
                  </pic:spPr>
                </pic:pic>
              </a:graphicData>
            </a:graphic>
          </wp:inline>
        </w:drawing>
      </w:r>
    </w:p>
    <w:p w14:paraId="44219A45" w14:textId="60361DB1" w:rsidR="00FD26B1" w:rsidRPr="00EE3623" w:rsidRDefault="00BA1970" w:rsidP="005C7460">
      <w:pPr>
        <w:pStyle w:val="Source"/>
      </w:pPr>
      <w:r w:rsidRPr="00EE3623">
        <w:t xml:space="preserve">Source: Age-specific fertility rates for total population from </w:t>
      </w:r>
      <w:r w:rsidR="00E50286" w:rsidRPr="00EE3623">
        <w:t>Australian Bureau of Statistics (2024a)</w:t>
      </w:r>
      <w:r w:rsidRPr="00EE3623">
        <w:t>. Age</w:t>
      </w:r>
      <w:r w:rsidR="005C7460">
        <w:t> </w:t>
      </w:r>
      <w:r w:rsidRPr="00EE3623">
        <w:t xml:space="preserve">specific fertility rates for Aboriginal </w:t>
      </w:r>
      <w:r w:rsidR="00F51DC1" w:rsidRPr="00EE3623">
        <w:t>and/or Torres</w:t>
      </w:r>
      <w:r w:rsidRPr="00EE3623">
        <w:t xml:space="preserve"> Strait Islander women from </w:t>
      </w:r>
      <w:r w:rsidR="00E50286" w:rsidRPr="00EE3623">
        <w:t xml:space="preserve">own </w:t>
      </w:r>
      <w:r w:rsidR="00FD26B1" w:rsidRPr="00EE3623">
        <w:t>calculations with births from AIHW (2023) and ERP from ABS (2024b).</w:t>
      </w:r>
    </w:p>
    <w:p w14:paraId="15FDC672" w14:textId="1E7BCFCA" w:rsidR="002961E7" w:rsidRPr="00EE3623" w:rsidRDefault="002961E7" w:rsidP="000E6C7A">
      <w:r w:rsidRPr="00EE3623">
        <w:t>Figure S7 also shows</w:t>
      </w:r>
      <w:r w:rsidR="00EA6610" w:rsidRPr="00EE3623">
        <w:t xml:space="preserve"> further detail on the trends in </w:t>
      </w:r>
      <w:r w:rsidRPr="00EE3623">
        <w:t>ASFR by 5-year age group, with data from 2006 to 2022, and projected trends to 2065</w:t>
      </w:r>
      <w:r w:rsidR="0071623D" w:rsidRPr="0071623D">
        <w:t>–</w:t>
      </w:r>
      <w:r w:rsidRPr="00EE3623">
        <w:t>66</w:t>
      </w:r>
      <w:r w:rsidR="00E50286" w:rsidRPr="00EE3623">
        <w:t xml:space="preserve">. </w:t>
      </w:r>
    </w:p>
    <w:p w14:paraId="405989F7" w14:textId="7BDCC567" w:rsidR="00EA6610" w:rsidRPr="00EE3623" w:rsidRDefault="00EA6610" w:rsidP="00EA6610">
      <w:r w:rsidRPr="00EE3623">
        <w:t xml:space="preserve">As seen in both S6 and S7, the 2006 </w:t>
      </w:r>
      <w:r w:rsidR="00BE2163" w:rsidRPr="00EE3623">
        <w:t>fertility rates appear</w:t>
      </w:r>
      <w:r w:rsidR="002A2C77" w:rsidRPr="00EE3623">
        <w:t>,</w:t>
      </w:r>
      <w:r w:rsidR="00BE2163" w:rsidRPr="00EE3623">
        <w:t xml:space="preserve"> particularly for some age groups</w:t>
      </w:r>
      <w:r w:rsidR="002A2C77" w:rsidRPr="00EE3623">
        <w:t>, to</w:t>
      </w:r>
      <w:r w:rsidR="00BE2163" w:rsidRPr="00EE3623">
        <w:t xml:space="preserve"> show a substantial divergent pattern from later years</w:t>
      </w:r>
      <w:r w:rsidR="00E50286" w:rsidRPr="00EE3623">
        <w:t xml:space="preserve">. </w:t>
      </w:r>
      <w:r w:rsidR="00D818F2" w:rsidRPr="00EE3623">
        <w:t xml:space="preserve">The 2006 data is based on </w:t>
      </w:r>
      <w:r w:rsidRPr="00EE3623">
        <w:t>experimental population data from the 2006 Census (ABS 2008</w:t>
      </w:r>
      <w:r w:rsidR="00767B7A" w:rsidRPr="00EE3623">
        <w:t>a</w:t>
      </w:r>
      <w:r w:rsidRPr="00EE3623">
        <w:t xml:space="preserve">). It is difficult to know if the trends from 2006 to 2011 are due to the difference in how the denominator (population ERP) was constructed or if they reflect real trends. </w:t>
      </w:r>
    </w:p>
    <w:p w14:paraId="18D03257" w14:textId="082DDEDC" w:rsidR="008D460D" w:rsidRPr="00EE3623" w:rsidRDefault="00D818F2" w:rsidP="008D460D">
      <w:r w:rsidRPr="00EE3623">
        <w:t xml:space="preserve">Due to this issue, </w:t>
      </w:r>
      <w:r w:rsidR="00294777" w:rsidRPr="00EE3623">
        <w:t xml:space="preserve">for projecting the future we base our focus primarily on trends that have occurred </w:t>
      </w:r>
      <w:r w:rsidR="008D460D" w:rsidRPr="00EE3623">
        <w:t>between 2011 and 2022, which are all based on the same denominator. Over the last decade, there are some clear trends by age. The fertility rate of women aged 15</w:t>
      </w:r>
      <w:r w:rsidR="0071623D" w:rsidRPr="0071623D">
        <w:t>–</w:t>
      </w:r>
      <w:r w:rsidR="008D460D" w:rsidRPr="00EE3623">
        <w:t>19 has dropped significantly from 57 births per 1,000 women aged 15</w:t>
      </w:r>
      <w:r w:rsidR="0071623D" w:rsidRPr="0071623D">
        <w:t>–</w:t>
      </w:r>
      <w:r w:rsidR="008D460D" w:rsidRPr="00EE3623">
        <w:t>19 in 2011 to 31.1 births per 1,000 women in 2022. In the last decade, there has been a continuing trend of fertility shifting to later age groups, with the 30</w:t>
      </w:r>
      <w:r w:rsidR="0071623D" w:rsidRPr="0071623D">
        <w:t>–</w:t>
      </w:r>
      <w:r w:rsidR="008D460D" w:rsidRPr="00EE3623">
        <w:t xml:space="preserve">34 age group experiencing a particularly strong positive trend in the birth rate. </w:t>
      </w:r>
    </w:p>
    <w:p w14:paraId="5024407D" w14:textId="46BC8B38" w:rsidR="00237904" w:rsidRPr="00EE3623" w:rsidRDefault="00C97AA5" w:rsidP="00237904">
      <w:r w:rsidRPr="00EE3623">
        <w:t xml:space="preserve">We project that fertility rates will continue to decline at the younger ages, and while some of this early age childbearing will be shifted to older ages there will overall be a decline. </w:t>
      </w:r>
      <w:r w:rsidR="00EA524D" w:rsidRPr="00EE3623">
        <w:t>W</w:t>
      </w:r>
      <w:r w:rsidR="003C3AD0" w:rsidRPr="00EE3623">
        <w:t xml:space="preserve">e also </w:t>
      </w:r>
      <w:r w:rsidR="00EA524D" w:rsidRPr="00EE3623">
        <w:t>assume</w:t>
      </w:r>
      <w:r w:rsidR="003C3AD0" w:rsidRPr="00EE3623">
        <w:t xml:space="preserve"> that there may be </w:t>
      </w:r>
      <w:r w:rsidR="00A27C7D" w:rsidRPr="00EE3623">
        <w:t>an</w:t>
      </w:r>
      <w:r w:rsidR="003C3AD0" w:rsidRPr="00EE3623">
        <w:t xml:space="preserve"> increase in identification </w:t>
      </w:r>
      <w:r w:rsidR="00A27C7D" w:rsidRPr="00EE3623">
        <w:t>rates</w:t>
      </w:r>
      <w:r w:rsidR="000D3BA3" w:rsidRPr="00EE3623">
        <w:t>,</w:t>
      </w:r>
      <w:r w:rsidR="00A27C7D" w:rsidRPr="00EE3623">
        <w:t xml:space="preserve"> </w:t>
      </w:r>
      <w:r w:rsidR="00DA5B39" w:rsidRPr="00EE3623">
        <w:t xml:space="preserve">particularly in urban areas, as suggested by Taylor, et al (2020). </w:t>
      </w:r>
      <w:r w:rsidR="002E02F8" w:rsidRPr="00EE3623">
        <w:t>Table S</w:t>
      </w:r>
      <w:r w:rsidR="000A66D0">
        <w:t>3</w:t>
      </w:r>
      <w:r w:rsidR="002E02F8" w:rsidRPr="00EE3623">
        <w:t xml:space="preserve"> shows the resulting ASFR based on the assumptions about the shifting age-profile of childbearing. </w:t>
      </w:r>
      <w:r w:rsidR="00A27C7D" w:rsidRPr="00EE3623">
        <w:t>We estimate a d</w:t>
      </w:r>
      <w:r w:rsidR="0077551C" w:rsidRPr="00EE3623">
        <w:t xml:space="preserve">ecline in fertility </w:t>
      </w:r>
      <w:r w:rsidR="00BB17C9" w:rsidRPr="00EE3623">
        <w:t xml:space="preserve">of 0.40 children, </w:t>
      </w:r>
      <w:r w:rsidR="0077551C" w:rsidRPr="00EE3623">
        <w:t>from 2.04 in 2022 to 1.64 by 2065</w:t>
      </w:r>
      <w:r w:rsidR="0071623D" w:rsidRPr="0071623D">
        <w:t>–</w:t>
      </w:r>
      <w:r w:rsidR="0077551C" w:rsidRPr="00EE3623">
        <w:t xml:space="preserve">66. </w:t>
      </w:r>
    </w:p>
    <w:p w14:paraId="6938F6E0" w14:textId="263CB383" w:rsidR="00F75728" w:rsidRPr="005C7460" w:rsidRDefault="00F75728" w:rsidP="005C7460">
      <w:pPr>
        <w:keepNext/>
        <w:rPr>
          <w:rStyle w:val="Strong"/>
        </w:rPr>
      </w:pPr>
      <w:r w:rsidRPr="005C7460">
        <w:rPr>
          <w:rStyle w:val="Strong"/>
        </w:rPr>
        <w:lastRenderedPageBreak/>
        <w:t>Figure</w:t>
      </w:r>
      <w:r w:rsidR="005C7460">
        <w:rPr>
          <w:rStyle w:val="Strong"/>
        </w:rPr>
        <w:t> </w:t>
      </w:r>
      <w:r w:rsidRPr="005C7460">
        <w:rPr>
          <w:rStyle w:val="Strong"/>
        </w:rPr>
        <w:t>S</w:t>
      </w:r>
      <w:r w:rsidRPr="005C7460">
        <w:rPr>
          <w:rStyle w:val="Strong"/>
        </w:rPr>
        <w:fldChar w:fldCharType="begin"/>
      </w:r>
      <w:r w:rsidRPr="005C7460">
        <w:rPr>
          <w:rStyle w:val="Strong"/>
        </w:rPr>
        <w:instrText xml:space="preserve"> SEQ Figure_S \* ARABIC </w:instrText>
      </w:r>
      <w:r w:rsidRPr="005C7460">
        <w:rPr>
          <w:rStyle w:val="Strong"/>
        </w:rPr>
        <w:fldChar w:fldCharType="separate"/>
      </w:r>
      <w:r w:rsidRPr="005C7460">
        <w:rPr>
          <w:rStyle w:val="Strong"/>
        </w:rPr>
        <w:t>7</w:t>
      </w:r>
      <w:r w:rsidRPr="005C7460">
        <w:rPr>
          <w:rStyle w:val="Strong"/>
        </w:rPr>
        <w:fldChar w:fldCharType="end"/>
      </w:r>
      <w:r w:rsidR="00B65990" w:rsidRPr="005C7460">
        <w:rPr>
          <w:rStyle w:val="Strong"/>
        </w:rPr>
        <w:t>:</w:t>
      </w:r>
      <w:r w:rsidRPr="005C7460">
        <w:rPr>
          <w:rStyle w:val="Strong"/>
        </w:rPr>
        <w:t xml:space="preserve"> Observed and predicted ASFR for 5-year age groups, Aboriginal and/or Torres Strait Islander women</w:t>
      </w:r>
    </w:p>
    <w:p w14:paraId="43F296A3" w14:textId="61A00AD6" w:rsidR="00C14E03" w:rsidRPr="00EE3623" w:rsidRDefault="007A0B26" w:rsidP="005C7460">
      <w:pPr>
        <w:spacing w:after="0"/>
      </w:pPr>
      <w:r w:rsidRPr="00EE3623">
        <w:rPr>
          <w:noProof/>
        </w:rPr>
        <w:drawing>
          <wp:inline distT="0" distB="0" distL="0" distR="0" wp14:anchorId="5A476326" wp14:editId="2410ED63">
            <wp:extent cx="5046980" cy="3437781"/>
            <wp:effectExtent l="0" t="0" r="1270" b="0"/>
            <wp:docPr id="2065005665" name="Picture 3" descr="Line graph showing observed and projected age-specific fertility rates for Aboriginal and/or Torres Strait Islander women from 2006 to 2065. The x-axis represents year, from 2006 to 2065, with a vertical dashed line marking the end of observed data at 2022. The y-axis shows ASFR per 1,000 women.&#10;Seven lines represent fertility trends by 5-year age groups:&#10;• 15 to 19 years: highest in 2006, steadily declining over time, black line with triangles.&#10;• 20 to 24 years: peak in observed years, then projected to decline, purple line with circles.&#10;• 25 to 29 years: rising trend throughout, orange line with squares.&#10;• 30 to 34 years: increasing in observed and projected periods, grey line with x-marks.&#10;• 35 to 39 years: gradual rise projected, blue line with diamonds.&#10;• 40 to 44 years: low but increasing slowly, pink line with plus signs.&#10;• 45 to 49 years: remains near zero, teal line with dots.&#10;The graph shows a shift in fertility patterns over time, with declining fertility at younger ages and increasing fertility at older ag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05665" name="Picture 3" descr="Line graph showing observed and projected age-specific fertility rates for Aboriginal and/or Torres Strait Islander women from 2006 to 2065. The x-axis represents year, from 2006 to 2065, with a vertical dashed line marking the end of observed data at 2022. The y-axis shows ASFR per 1,000 women.&#10;Seven lines represent fertility trends by 5-year age groups:&#10;• 15 to 19 years: highest in 2006, steadily declining over time, black line with triangles.&#10;• 20 to 24 years: peak in observed years, then projected to decline, purple line with circles.&#10;• 25 to 29 years: rising trend throughout, orange line with squares.&#10;• 30 to 34 years: increasing in observed and projected periods, grey line with x-marks.&#10;• 35 to 39 years: gradual rise projected, blue line with diamonds.&#10;• 40 to 44 years: low but increasing slowly, pink line with plus signs.&#10;• 45 to 49 years: remains near zero, teal line with dots.&#10;The graph shows a shift in fertility patterns over time, with declining fertility at younger ages and increasing fertility at older ages.&#10;"/>
                    <pic:cNvPicPr/>
                  </pic:nvPicPr>
                  <pic:blipFill>
                    <a:blip r:embed="rId21"/>
                    <a:stretch>
                      <a:fillRect/>
                    </a:stretch>
                  </pic:blipFill>
                  <pic:spPr>
                    <a:xfrm>
                      <a:off x="0" y="0"/>
                      <a:ext cx="5048586" cy="3438875"/>
                    </a:xfrm>
                    <a:prstGeom prst="rect">
                      <a:avLst/>
                    </a:prstGeom>
                  </pic:spPr>
                </pic:pic>
              </a:graphicData>
            </a:graphic>
          </wp:inline>
        </w:drawing>
      </w:r>
    </w:p>
    <w:p w14:paraId="249C6C14" w14:textId="48CB53C9" w:rsidR="006A1F76" w:rsidRPr="00EE3623" w:rsidRDefault="006A1F76" w:rsidP="005C7460">
      <w:pPr>
        <w:pStyle w:val="Source"/>
        <w:spacing w:after="240"/>
      </w:pPr>
      <w:r w:rsidRPr="00EE3623">
        <w:t xml:space="preserve">Source: Age-specific fertility rates for Aboriginal </w:t>
      </w:r>
      <w:r w:rsidR="00F51DC1" w:rsidRPr="00EE3623">
        <w:t>and/or Torres</w:t>
      </w:r>
      <w:r w:rsidRPr="00EE3623">
        <w:t xml:space="preserve"> Strait Islander women based on own calculations </w:t>
      </w:r>
      <w:r w:rsidR="00AD4FB3" w:rsidRPr="00EE3623">
        <w:t>with births from AIHW (</w:t>
      </w:r>
      <w:r w:rsidR="00FD26B1" w:rsidRPr="00EE3623">
        <w:t>2023</w:t>
      </w:r>
      <w:r w:rsidR="00AD4FB3" w:rsidRPr="00EE3623">
        <w:t xml:space="preserve">) and ERP from </w:t>
      </w:r>
      <w:r w:rsidR="00FD26B1" w:rsidRPr="00EE3623">
        <w:t>ABS (2024b</w:t>
      </w:r>
      <w:r w:rsidR="00AD4FB3" w:rsidRPr="00EE3623">
        <w:t>)</w:t>
      </w:r>
      <w:r w:rsidRPr="00EE3623">
        <w:t xml:space="preserve">. </w:t>
      </w:r>
    </w:p>
    <w:p w14:paraId="365E1CCC" w14:textId="2849A6AC" w:rsidR="0077551C" w:rsidRPr="005C7460" w:rsidRDefault="0077551C" w:rsidP="005C7460">
      <w:pPr>
        <w:rPr>
          <w:rStyle w:val="Strong"/>
        </w:rPr>
      </w:pPr>
      <w:r w:rsidRPr="005C7460">
        <w:rPr>
          <w:rStyle w:val="Strong"/>
        </w:rPr>
        <w:t>Table</w:t>
      </w:r>
      <w:r w:rsidR="005C7460">
        <w:rPr>
          <w:rStyle w:val="Strong"/>
        </w:rPr>
        <w:t> </w:t>
      </w:r>
      <w:r w:rsidRPr="005C7460">
        <w:rPr>
          <w:rStyle w:val="Strong"/>
        </w:rPr>
        <w:t>S</w:t>
      </w:r>
      <w:r w:rsidR="000A66D0" w:rsidRPr="005C7460">
        <w:rPr>
          <w:rStyle w:val="Strong"/>
        </w:rPr>
        <w:t>3</w:t>
      </w:r>
      <w:r w:rsidRPr="005C7460">
        <w:rPr>
          <w:rStyle w:val="Strong"/>
        </w:rPr>
        <w:t>: Assumed annual change in ASFR</w:t>
      </w:r>
      <w:r w:rsidR="000A66D0" w:rsidRPr="005C7460">
        <w:rPr>
          <w:rStyle w:val="Strong"/>
        </w:rPr>
        <w:t xml:space="preserve"> (births per 1000)</w:t>
      </w:r>
      <w:r w:rsidRPr="005C7460">
        <w:rPr>
          <w:rStyle w:val="Strong"/>
        </w:rPr>
        <w:t>, Aboriginal and</w:t>
      </w:r>
      <w:r w:rsidR="00F51DC1" w:rsidRPr="005C7460">
        <w:rPr>
          <w:rStyle w:val="Strong"/>
        </w:rPr>
        <w:t>/or</w:t>
      </w:r>
      <w:r w:rsidRPr="005C7460">
        <w:rPr>
          <w:rStyle w:val="Strong"/>
        </w:rPr>
        <w:t xml:space="preserve"> Torres Strait Islander women by age and resulting projected rates</w:t>
      </w:r>
    </w:p>
    <w:tbl>
      <w:tblPr>
        <w:tblStyle w:val="PlainTable1"/>
        <w:tblW w:w="5000" w:type="pct"/>
        <w:tblBorders>
          <w:top w:val="single" w:sz="4" w:space="0" w:color="0070C0"/>
        </w:tblBorders>
        <w:tblLook w:val="04A0" w:firstRow="1" w:lastRow="0" w:firstColumn="1" w:lastColumn="0" w:noHBand="0" w:noVBand="1"/>
      </w:tblPr>
      <w:tblGrid>
        <w:gridCol w:w="2196"/>
        <w:gridCol w:w="2198"/>
        <w:gridCol w:w="2196"/>
        <w:gridCol w:w="2198"/>
      </w:tblGrid>
      <w:tr w:rsidR="002767C9" w:rsidRPr="00EE3623" w14:paraId="2504CF0F" w14:textId="77777777" w:rsidTr="001D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dxa"/>
            <w:tcBorders>
              <w:top w:val="single" w:sz="4" w:space="0" w:color="auto"/>
              <w:left w:val="nil"/>
              <w:bottom w:val="single" w:sz="4" w:space="0" w:color="auto"/>
              <w:right w:val="nil"/>
            </w:tcBorders>
            <w:vAlign w:val="bottom"/>
          </w:tcPr>
          <w:p w14:paraId="65D4D827" w14:textId="77777777" w:rsidR="0077551C" w:rsidRPr="00EE3623" w:rsidRDefault="0077551C" w:rsidP="001D1E1C">
            <w:pPr>
              <w:pStyle w:val="TableHeading"/>
              <w:rPr>
                <w:b w:val="0"/>
                <w:bCs w:val="0"/>
              </w:rPr>
            </w:pPr>
            <w:r w:rsidRPr="00EE3623">
              <w:rPr>
                <w:b w:val="0"/>
                <w:bCs w:val="0"/>
              </w:rPr>
              <w:t>Age group</w:t>
            </w:r>
          </w:p>
        </w:tc>
        <w:tc>
          <w:tcPr>
            <w:tcW w:w="2195" w:type="dxa"/>
            <w:tcBorders>
              <w:top w:val="single" w:sz="4" w:space="0" w:color="auto"/>
              <w:left w:val="nil"/>
              <w:bottom w:val="single" w:sz="4" w:space="0" w:color="auto"/>
              <w:right w:val="nil"/>
            </w:tcBorders>
            <w:vAlign w:val="bottom"/>
          </w:tcPr>
          <w:p w14:paraId="31752A88" w14:textId="77777777" w:rsidR="0077551C" w:rsidRPr="00EE3623" w:rsidRDefault="0077551C" w:rsidP="001D1E1C">
            <w:pPr>
              <w:pStyle w:val="TableHeading"/>
              <w:jc w:val="right"/>
              <w:cnfStyle w:val="100000000000" w:firstRow="1" w:lastRow="0" w:firstColumn="0" w:lastColumn="0" w:oddVBand="0" w:evenVBand="0" w:oddHBand="0" w:evenHBand="0" w:firstRowFirstColumn="0" w:firstRowLastColumn="0" w:lastRowFirstColumn="0" w:lastRowLastColumn="0"/>
            </w:pPr>
            <w:r w:rsidRPr="00EE3623">
              <w:t>2022</w:t>
            </w:r>
          </w:p>
        </w:tc>
        <w:tc>
          <w:tcPr>
            <w:tcW w:w="2194" w:type="dxa"/>
            <w:tcBorders>
              <w:top w:val="single" w:sz="4" w:space="0" w:color="auto"/>
              <w:left w:val="nil"/>
              <w:bottom w:val="single" w:sz="4" w:space="0" w:color="auto"/>
              <w:right w:val="nil"/>
            </w:tcBorders>
            <w:vAlign w:val="bottom"/>
          </w:tcPr>
          <w:p w14:paraId="76ED7F7D" w14:textId="52A941E6" w:rsidR="0077551C" w:rsidRPr="00EE3623" w:rsidRDefault="0077551C" w:rsidP="001D1E1C">
            <w:pPr>
              <w:pStyle w:val="TableHeading"/>
              <w:jc w:val="right"/>
              <w:cnfStyle w:val="100000000000" w:firstRow="1" w:lastRow="0" w:firstColumn="0" w:lastColumn="0" w:oddVBand="0" w:evenVBand="0" w:oddHBand="0" w:evenHBand="0" w:firstRowFirstColumn="0" w:firstRowLastColumn="0" w:lastRowFirstColumn="0" w:lastRowLastColumn="0"/>
            </w:pPr>
            <w:r w:rsidRPr="00EE3623">
              <w:t>2065</w:t>
            </w:r>
            <w:r w:rsidR="0071623D" w:rsidRPr="0071623D">
              <w:t>–</w:t>
            </w:r>
            <w:r w:rsidRPr="00EE3623">
              <w:t>66 (projected)</w:t>
            </w:r>
          </w:p>
        </w:tc>
        <w:tc>
          <w:tcPr>
            <w:tcW w:w="2195" w:type="dxa"/>
            <w:tcBorders>
              <w:top w:val="single" w:sz="4" w:space="0" w:color="auto"/>
              <w:left w:val="nil"/>
              <w:bottom w:val="single" w:sz="4" w:space="0" w:color="auto"/>
              <w:right w:val="nil"/>
            </w:tcBorders>
            <w:vAlign w:val="bottom"/>
          </w:tcPr>
          <w:p w14:paraId="1040E7AF" w14:textId="77777777" w:rsidR="0077551C" w:rsidRPr="00EE3623" w:rsidRDefault="0077551C" w:rsidP="001D1E1C">
            <w:pPr>
              <w:pStyle w:val="TableHeading"/>
              <w:jc w:val="right"/>
              <w:cnfStyle w:val="100000000000" w:firstRow="1" w:lastRow="0" w:firstColumn="0" w:lastColumn="0" w:oddVBand="0" w:evenVBand="0" w:oddHBand="0" w:evenHBand="0" w:firstRowFirstColumn="0" w:firstRowLastColumn="0" w:lastRowFirstColumn="0" w:lastRowLastColumn="0"/>
            </w:pPr>
            <w:r w:rsidRPr="00EE3623">
              <w:t>Annual % change</w:t>
            </w:r>
          </w:p>
        </w:tc>
      </w:tr>
      <w:tr w:rsidR="002767C9" w:rsidRPr="00EE3623" w14:paraId="67682857" w14:textId="77777777" w:rsidTr="001D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dxa"/>
            <w:tcBorders>
              <w:top w:val="single" w:sz="4" w:space="0" w:color="auto"/>
              <w:left w:val="nil"/>
              <w:bottom w:val="nil"/>
              <w:right w:val="nil"/>
            </w:tcBorders>
          </w:tcPr>
          <w:p w14:paraId="44884BEA" w14:textId="40037B30" w:rsidR="0077551C" w:rsidRPr="00EE3623" w:rsidRDefault="0077551C" w:rsidP="00237CF8">
            <w:pPr>
              <w:pStyle w:val="TableText"/>
              <w:rPr>
                <w:b w:val="0"/>
                <w:bCs w:val="0"/>
              </w:rPr>
            </w:pPr>
            <w:r w:rsidRPr="00EE3623">
              <w:rPr>
                <w:b w:val="0"/>
                <w:bCs w:val="0"/>
              </w:rPr>
              <w:t>15</w:t>
            </w:r>
            <w:r w:rsidR="0071623D" w:rsidRPr="0071623D">
              <w:rPr>
                <w:b w:val="0"/>
                <w:bCs w:val="0"/>
              </w:rPr>
              <w:t>–</w:t>
            </w:r>
            <w:r w:rsidRPr="00EE3623">
              <w:rPr>
                <w:b w:val="0"/>
                <w:bCs w:val="0"/>
              </w:rPr>
              <w:t>19</w:t>
            </w:r>
          </w:p>
        </w:tc>
        <w:tc>
          <w:tcPr>
            <w:tcW w:w="2195" w:type="dxa"/>
            <w:tcBorders>
              <w:top w:val="single" w:sz="4" w:space="0" w:color="auto"/>
              <w:left w:val="nil"/>
              <w:bottom w:val="nil"/>
              <w:right w:val="nil"/>
            </w:tcBorders>
          </w:tcPr>
          <w:p w14:paraId="3BD52534"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31.1</w:t>
            </w:r>
          </w:p>
        </w:tc>
        <w:tc>
          <w:tcPr>
            <w:tcW w:w="2194" w:type="dxa"/>
            <w:tcBorders>
              <w:top w:val="single" w:sz="4" w:space="0" w:color="auto"/>
              <w:left w:val="nil"/>
              <w:bottom w:val="nil"/>
              <w:right w:val="nil"/>
            </w:tcBorders>
          </w:tcPr>
          <w:p w14:paraId="7B010385"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8.4</w:t>
            </w:r>
          </w:p>
        </w:tc>
        <w:tc>
          <w:tcPr>
            <w:tcW w:w="2195" w:type="dxa"/>
            <w:tcBorders>
              <w:top w:val="single" w:sz="4" w:space="0" w:color="auto"/>
              <w:left w:val="nil"/>
              <w:bottom w:val="nil"/>
              <w:right w:val="nil"/>
            </w:tcBorders>
          </w:tcPr>
          <w:p w14:paraId="70F0F807"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-3.0 %</w:t>
            </w:r>
          </w:p>
        </w:tc>
      </w:tr>
      <w:tr w:rsidR="00D508B3" w:rsidRPr="00EE3623" w14:paraId="2661A0B6" w14:textId="77777777" w:rsidTr="001D1E1C">
        <w:tc>
          <w:tcPr>
            <w:cnfStyle w:val="001000000000" w:firstRow="0" w:lastRow="0" w:firstColumn="1" w:lastColumn="0" w:oddVBand="0" w:evenVBand="0" w:oddHBand="0" w:evenHBand="0" w:firstRowFirstColumn="0" w:firstRowLastColumn="0" w:lastRowFirstColumn="0" w:lastRowLastColumn="0"/>
            <w:tcW w:w="2194" w:type="dxa"/>
            <w:tcBorders>
              <w:top w:val="nil"/>
              <w:left w:val="nil"/>
              <w:bottom w:val="nil"/>
              <w:right w:val="nil"/>
            </w:tcBorders>
          </w:tcPr>
          <w:p w14:paraId="21E07EEE" w14:textId="4CA90B49" w:rsidR="0077551C" w:rsidRPr="00EE3623" w:rsidRDefault="0077551C" w:rsidP="00237CF8">
            <w:pPr>
              <w:pStyle w:val="TableText"/>
              <w:rPr>
                <w:b w:val="0"/>
                <w:bCs w:val="0"/>
              </w:rPr>
            </w:pPr>
            <w:r w:rsidRPr="00EE3623">
              <w:rPr>
                <w:b w:val="0"/>
                <w:bCs w:val="0"/>
              </w:rPr>
              <w:t>20</w:t>
            </w:r>
            <w:r w:rsidR="0071623D" w:rsidRPr="0071623D">
              <w:rPr>
                <w:b w:val="0"/>
                <w:bCs w:val="0"/>
              </w:rPr>
              <w:t>–</w:t>
            </w:r>
            <w:r w:rsidRPr="00EE3623">
              <w:rPr>
                <w:b w:val="0"/>
                <w:bCs w:val="0"/>
              </w:rPr>
              <w:t>24</w:t>
            </w:r>
          </w:p>
        </w:tc>
        <w:tc>
          <w:tcPr>
            <w:tcW w:w="2195" w:type="dxa"/>
            <w:tcBorders>
              <w:top w:val="nil"/>
              <w:left w:val="nil"/>
              <w:bottom w:val="nil"/>
              <w:right w:val="nil"/>
            </w:tcBorders>
          </w:tcPr>
          <w:p w14:paraId="3C722476"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106.6</w:t>
            </w:r>
          </w:p>
        </w:tc>
        <w:tc>
          <w:tcPr>
            <w:tcW w:w="2194" w:type="dxa"/>
            <w:tcBorders>
              <w:top w:val="nil"/>
              <w:left w:val="nil"/>
              <w:bottom w:val="nil"/>
              <w:right w:val="nil"/>
            </w:tcBorders>
          </w:tcPr>
          <w:p w14:paraId="01ED9EF5"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50.0</w:t>
            </w:r>
          </w:p>
        </w:tc>
        <w:tc>
          <w:tcPr>
            <w:tcW w:w="2195" w:type="dxa"/>
            <w:tcBorders>
              <w:top w:val="nil"/>
              <w:left w:val="nil"/>
              <w:bottom w:val="nil"/>
              <w:right w:val="nil"/>
            </w:tcBorders>
          </w:tcPr>
          <w:p w14:paraId="13F7D98D"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-1.75 %</w:t>
            </w:r>
          </w:p>
        </w:tc>
      </w:tr>
      <w:tr w:rsidR="002767C9" w:rsidRPr="00EE3623" w14:paraId="6C0278B1" w14:textId="77777777" w:rsidTr="001D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dxa"/>
            <w:tcBorders>
              <w:top w:val="nil"/>
              <w:left w:val="nil"/>
              <w:bottom w:val="nil"/>
              <w:right w:val="nil"/>
            </w:tcBorders>
          </w:tcPr>
          <w:p w14:paraId="0A5F303A" w14:textId="7BC17B7C" w:rsidR="0077551C" w:rsidRPr="00EE3623" w:rsidRDefault="0077551C" w:rsidP="00237CF8">
            <w:pPr>
              <w:pStyle w:val="TableText"/>
              <w:rPr>
                <w:b w:val="0"/>
                <w:bCs w:val="0"/>
              </w:rPr>
            </w:pPr>
            <w:r w:rsidRPr="00EE3623">
              <w:rPr>
                <w:b w:val="0"/>
                <w:bCs w:val="0"/>
              </w:rPr>
              <w:t>25</w:t>
            </w:r>
            <w:r w:rsidR="0071623D" w:rsidRPr="0071623D">
              <w:rPr>
                <w:b w:val="0"/>
                <w:bCs w:val="0"/>
              </w:rPr>
              <w:t>–</w:t>
            </w:r>
            <w:r w:rsidRPr="00EE3623">
              <w:rPr>
                <w:b w:val="0"/>
                <w:bCs w:val="0"/>
              </w:rPr>
              <w:t>29</w:t>
            </w:r>
          </w:p>
        </w:tc>
        <w:tc>
          <w:tcPr>
            <w:tcW w:w="2195" w:type="dxa"/>
            <w:tcBorders>
              <w:top w:val="nil"/>
              <w:left w:val="nil"/>
              <w:bottom w:val="nil"/>
              <w:right w:val="nil"/>
            </w:tcBorders>
          </w:tcPr>
          <w:p w14:paraId="00C9C6D7"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116.6</w:t>
            </w:r>
          </w:p>
        </w:tc>
        <w:tc>
          <w:tcPr>
            <w:tcW w:w="2194" w:type="dxa"/>
            <w:tcBorders>
              <w:top w:val="nil"/>
              <w:left w:val="nil"/>
              <w:bottom w:val="nil"/>
              <w:right w:val="nil"/>
            </w:tcBorders>
          </w:tcPr>
          <w:p w14:paraId="57DDC832"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75.7</w:t>
            </w:r>
          </w:p>
        </w:tc>
        <w:tc>
          <w:tcPr>
            <w:tcW w:w="2195" w:type="dxa"/>
            <w:tcBorders>
              <w:top w:val="nil"/>
              <w:left w:val="nil"/>
              <w:bottom w:val="nil"/>
              <w:right w:val="nil"/>
            </w:tcBorders>
          </w:tcPr>
          <w:p w14:paraId="725618CE"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-1.0 %</w:t>
            </w:r>
          </w:p>
        </w:tc>
      </w:tr>
      <w:tr w:rsidR="00D508B3" w:rsidRPr="00EE3623" w14:paraId="7C4506D5" w14:textId="77777777" w:rsidTr="001D1E1C">
        <w:tc>
          <w:tcPr>
            <w:cnfStyle w:val="001000000000" w:firstRow="0" w:lastRow="0" w:firstColumn="1" w:lastColumn="0" w:oddVBand="0" w:evenVBand="0" w:oddHBand="0" w:evenHBand="0" w:firstRowFirstColumn="0" w:firstRowLastColumn="0" w:lastRowFirstColumn="0" w:lastRowLastColumn="0"/>
            <w:tcW w:w="2194" w:type="dxa"/>
            <w:tcBorders>
              <w:top w:val="nil"/>
              <w:left w:val="nil"/>
              <w:bottom w:val="nil"/>
              <w:right w:val="nil"/>
            </w:tcBorders>
          </w:tcPr>
          <w:p w14:paraId="35DD00D5" w14:textId="4F51C37F" w:rsidR="0077551C" w:rsidRPr="00EE3623" w:rsidRDefault="0077551C" w:rsidP="00237CF8">
            <w:pPr>
              <w:pStyle w:val="TableText"/>
              <w:rPr>
                <w:b w:val="0"/>
                <w:bCs w:val="0"/>
              </w:rPr>
            </w:pPr>
            <w:r w:rsidRPr="00EE3623">
              <w:rPr>
                <w:b w:val="0"/>
                <w:bCs w:val="0"/>
              </w:rPr>
              <w:t>30</w:t>
            </w:r>
            <w:r w:rsidR="0071623D" w:rsidRPr="0071623D">
              <w:rPr>
                <w:b w:val="0"/>
                <w:bCs w:val="0"/>
              </w:rPr>
              <w:t>–</w:t>
            </w:r>
            <w:r w:rsidRPr="00EE3623">
              <w:rPr>
                <w:b w:val="0"/>
                <w:bCs w:val="0"/>
              </w:rPr>
              <w:t>34</w:t>
            </w:r>
          </w:p>
        </w:tc>
        <w:tc>
          <w:tcPr>
            <w:tcW w:w="2195" w:type="dxa"/>
            <w:tcBorders>
              <w:top w:val="nil"/>
              <w:left w:val="nil"/>
              <w:bottom w:val="nil"/>
              <w:right w:val="nil"/>
            </w:tcBorders>
          </w:tcPr>
          <w:p w14:paraId="7A75BFD2"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93.7</w:t>
            </w:r>
          </w:p>
        </w:tc>
        <w:tc>
          <w:tcPr>
            <w:tcW w:w="2194" w:type="dxa"/>
            <w:tcBorders>
              <w:top w:val="nil"/>
              <w:left w:val="nil"/>
              <w:bottom w:val="nil"/>
              <w:right w:val="nil"/>
            </w:tcBorders>
          </w:tcPr>
          <w:p w14:paraId="124CD055"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106.6</w:t>
            </w:r>
          </w:p>
        </w:tc>
        <w:tc>
          <w:tcPr>
            <w:tcW w:w="2195" w:type="dxa"/>
            <w:tcBorders>
              <w:top w:val="nil"/>
              <w:left w:val="nil"/>
              <w:bottom w:val="nil"/>
              <w:right w:val="nil"/>
            </w:tcBorders>
          </w:tcPr>
          <w:p w14:paraId="27E0F5DE"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 xml:space="preserve">0.3 % </w:t>
            </w:r>
          </w:p>
        </w:tc>
      </w:tr>
      <w:tr w:rsidR="002767C9" w:rsidRPr="00EE3623" w14:paraId="3696A59A" w14:textId="77777777" w:rsidTr="001D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dxa"/>
            <w:tcBorders>
              <w:top w:val="nil"/>
              <w:left w:val="nil"/>
              <w:bottom w:val="nil"/>
              <w:right w:val="nil"/>
            </w:tcBorders>
          </w:tcPr>
          <w:p w14:paraId="7F241AA0" w14:textId="73D78167" w:rsidR="0077551C" w:rsidRPr="00EE3623" w:rsidRDefault="0077551C" w:rsidP="00237CF8">
            <w:pPr>
              <w:pStyle w:val="TableText"/>
              <w:rPr>
                <w:b w:val="0"/>
                <w:bCs w:val="0"/>
              </w:rPr>
            </w:pPr>
            <w:r w:rsidRPr="00EE3623">
              <w:rPr>
                <w:b w:val="0"/>
                <w:bCs w:val="0"/>
              </w:rPr>
              <w:t>35</w:t>
            </w:r>
            <w:r w:rsidR="0071623D" w:rsidRPr="0071623D">
              <w:rPr>
                <w:b w:val="0"/>
                <w:bCs w:val="0"/>
              </w:rPr>
              <w:t>–</w:t>
            </w:r>
            <w:r w:rsidRPr="00EE3623">
              <w:rPr>
                <w:b w:val="0"/>
                <w:bCs w:val="0"/>
              </w:rPr>
              <w:t>39</w:t>
            </w:r>
          </w:p>
        </w:tc>
        <w:tc>
          <w:tcPr>
            <w:tcW w:w="2195" w:type="dxa"/>
            <w:tcBorders>
              <w:top w:val="nil"/>
              <w:left w:val="nil"/>
              <w:bottom w:val="nil"/>
              <w:right w:val="nil"/>
            </w:tcBorders>
          </w:tcPr>
          <w:p w14:paraId="271E7911"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47.7</w:t>
            </w:r>
          </w:p>
        </w:tc>
        <w:tc>
          <w:tcPr>
            <w:tcW w:w="2194" w:type="dxa"/>
            <w:tcBorders>
              <w:top w:val="nil"/>
              <w:left w:val="nil"/>
              <w:bottom w:val="nil"/>
              <w:right w:val="nil"/>
            </w:tcBorders>
          </w:tcPr>
          <w:p w14:paraId="57174E47"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67.3</w:t>
            </w:r>
          </w:p>
        </w:tc>
        <w:tc>
          <w:tcPr>
            <w:tcW w:w="2195" w:type="dxa"/>
            <w:tcBorders>
              <w:top w:val="nil"/>
              <w:left w:val="nil"/>
              <w:bottom w:val="nil"/>
              <w:right w:val="nil"/>
            </w:tcBorders>
          </w:tcPr>
          <w:p w14:paraId="3422D01D"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0.8 %</w:t>
            </w:r>
          </w:p>
        </w:tc>
      </w:tr>
      <w:tr w:rsidR="00D508B3" w:rsidRPr="00EE3623" w14:paraId="01880BE3" w14:textId="77777777" w:rsidTr="001D1E1C">
        <w:tc>
          <w:tcPr>
            <w:cnfStyle w:val="001000000000" w:firstRow="0" w:lastRow="0" w:firstColumn="1" w:lastColumn="0" w:oddVBand="0" w:evenVBand="0" w:oddHBand="0" w:evenHBand="0" w:firstRowFirstColumn="0" w:firstRowLastColumn="0" w:lastRowFirstColumn="0" w:lastRowLastColumn="0"/>
            <w:tcW w:w="2194" w:type="dxa"/>
            <w:tcBorders>
              <w:top w:val="nil"/>
              <w:left w:val="nil"/>
              <w:bottom w:val="nil"/>
              <w:right w:val="nil"/>
            </w:tcBorders>
          </w:tcPr>
          <w:p w14:paraId="4C5BE035" w14:textId="771BDCBF" w:rsidR="0077551C" w:rsidRPr="00EE3623" w:rsidRDefault="0077551C" w:rsidP="00237CF8">
            <w:pPr>
              <w:pStyle w:val="TableText"/>
              <w:rPr>
                <w:b w:val="0"/>
                <w:bCs w:val="0"/>
              </w:rPr>
            </w:pPr>
            <w:r w:rsidRPr="00EE3623">
              <w:rPr>
                <w:b w:val="0"/>
                <w:bCs w:val="0"/>
              </w:rPr>
              <w:t>40</w:t>
            </w:r>
            <w:r w:rsidR="0071623D" w:rsidRPr="0071623D">
              <w:rPr>
                <w:b w:val="0"/>
                <w:bCs w:val="0"/>
              </w:rPr>
              <w:t>–</w:t>
            </w:r>
            <w:r w:rsidRPr="00EE3623">
              <w:rPr>
                <w:b w:val="0"/>
                <w:bCs w:val="0"/>
              </w:rPr>
              <w:t>44</w:t>
            </w:r>
          </w:p>
        </w:tc>
        <w:tc>
          <w:tcPr>
            <w:tcW w:w="2195" w:type="dxa"/>
            <w:tcBorders>
              <w:top w:val="nil"/>
              <w:left w:val="nil"/>
              <w:bottom w:val="nil"/>
              <w:right w:val="nil"/>
            </w:tcBorders>
          </w:tcPr>
          <w:p w14:paraId="7BB5343B"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11.9</w:t>
            </w:r>
          </w:p>
        </w:tc>
        <w:tc>
          <w:tcPr>
            <w:tcW w:w="2194" w:type="dxa"/>
            <w:tcBorders>
              <w:top w:val="nil"/>
              <w:left w:val="nil"/>
              <w:bottom w:val="nil"/>
              <w:right w:val="nil"/>
            </w:tcBorders>
          </w:tcPr>
          <w:p w14:paraId="71A1B99C"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18.2</w:t>
            </w:r>
          </w:p>
        </w:tc>
        <w:tc>
          <w:tcPr>
            <w:tcW w:w="2195" w:type="dxa"/>
            <w:tcBorders>
              <w:top w:val="nil"/>
              <w:left w:val="nil"/>
              <w:bottom w:val="nil"/>
              <w:right w:val="nil"/>
            </w:tcBorders>
          </w:tcPr>
          <w:p w14:paraId="645A9160"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pPr>
            <w:r w:rsidRPr="00EE3623">
              <w:t>1 %</w:t>
            </w:r>
          </w:p>
        </w:tc>
      </w:tr>
      <w:tr w:rsidR="002767C9" w:rsidRPr="00EE3623" w14:paraId="47702E08" w14:textId="77777777" w:rsidTr="001D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dxa"/>
            <w:tcBorders>
              <w:top w:val="nil"/>
              <w:left w:val="nil"/>
              <w:bottom w:val="single" w:sz="4" w:space="0" w:color="auto"/>
              <w:right w:val="nil"/>
            </w:tcBorders>
          </w:tcPr>
          <w:p w14:paraId="5B3CA82E" w14:textId="628A4085" w:rsidR="0077551C" w:rsidRPr="00EE3623" w:rsidRDefault="0077551C" w:rsidP="00237CF8">
            <w:pPr>
              <w:pStyle w:val="TableText"/>
              <w:rPr>
                <w:b w:val="0"/>
                <w:bCs w:val="0"/>
              </w:rPr>
            </w:pPr>
            <w:r w:rsidRPr="00EE3623">
              <w:rPr>
                <w:b w:val="0"/>
                <w:bCs w:val="0"/>
              </w:rPr>
              <w:t>45</w:t>
            </w:r>
            <w:r w:rsidR="0071623D" w:rsidRPr="0071623D">
              <w:rPr>
                <w:b w:val="0"/>
                <w:bCs w:val="0"/>
              </w:rPr>
              <w:t>–</w:t>
            </w:r>
            <w:r w:rsidRPr="00EE3623">
              <w:rPr>
                <w:b w:val="0"/>
                <w:bCs w:val="0"/>
              </w:rPr>
              <w:t>49</w:t>
            </w:r>
          </w:p>
        </w:tc>
        <w:tc>
          <w:tcPr>
            <w:tcW w:w="2195" w:type="dxa"/>
            <w:tcBorders>
              <w:top w:val="nil"/>
              <w:left w:val="nil"/>
              <w:bottom w:val="single" w:sz="4" w:space="0" w:color="auto"/>
              <w:right w:val="nil"/>
            </w:tcBorders>
          </w:tcPr>
          <w:p w14:paraId="410CC6B4"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0.5</w:t>
            </w:r>
          </w:p>
        </w:tc>
        <w:tc>
          <w:tcPr>
            <w:tcW w:w="2194" w:type="dxa"/>
            <w:tcBorders>
              <w:top w:val="nil"/>
              <w:left w:val="nil"/>
              <w:bottom w:val="single" w:sz="4" w:space="0" w:color="auto"/>
              <w:right w:val="nil"/>
            </w:tcBorders>
          </w:tcPr>
          <w:p w14:paraId="222FAC1A"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1.4</w:t>
            </w:r>
          </w:p>
        </w:tc>
        <w:tc>
          <w:tcPr>
            <w:tcW w:w="2195" w:type="dxa"/>
            <w:tcBorders>
              <w:top w:val="nil"/>
              <w:left w:val="nil"/>
              <w:bottom w:val="single" w:sz="4" w:space="0" w:color="auto"/>
              <w:right w:val="nil"/>
            </w:tcBorders>
          </w:tcPr>
          <w:p w14:paraId="19EA2A94" w14:textId="77777777" w:rsidR="0077551C" w:rsidRPr="00EE3623" w:rsidRDefault="0077551C" w:rsidP="00237CF8">
            <w:pPr>
              <w:pStyle w:val="TableText"/>
              <w:jc w:val="right"/>
              <w:cnfStyle w:val="000000100000" w:firstRow="0" w:lastRow="0" w:firstColumn="0" w:lastColumn="0" w:oddVBand="0" w:evenVBand="0" w:oddHBand="1" w:evenHBand="0" w:firstRowFirstColumn="0" w:firstRowLastColumn="0" w:lastRowFirstColumn="0" w:lastRowLastColumn="0"/>
            </w:pPr>
            <w:r w:rsidRPr="00EE3623">
              <w:t>2 %</w:t>
            </w:r>
          </w:p>
        </w:tc>
      </w:tr>
      <w:tr w:rsidR="002767C9" w:rsidRPr="00EE3623" w14:paraId="45B7BFEE" w14:textId="77777777" w:rsidTr="001D1E1C">
        <w:tc>
          <w:tcPr>
            <w:cnfStyle w:val="001000000000" w:firstRow="0" w:lastRow="0" w:firstColumn="1" w:lastColumn="0" w:oddVBand="0" w:evenVBand="0" w:oddHBand="0" w:evenHBand="0" w:firstRowFirstColumn="0" w:firstRowLastColumn="0" w:lastRowFirstColumn="0" w:lastRowLastColumn="0"/>
            <w:tcW w:w="2194" w:type="dxa"/>
            <w:tcBorders>
              <w:top w:val="single" w:sz="4" w:space="0" w:color="auto"/>
              <w:left w:val="nil"/>
              <w:bottom w:val="single" w:sz="4" w:space="0" w:color="auto"/>
              <w:right w:val="nil"/>
            </w:tcBorders>
          </w:tcPr>
          <w:p w14:paraId="35A2C093" w14:textId="77777777" w:rsidR="0077551C" w:rsidRPr="00EE3623" w:rsidRDefault="0077551C" w:rsidP="00237CF8">
            <w:pPr>
              <w:pStyle w:val="TableText"/>
            </w:pPr>
            <w:r w:rsidRPr="00EE3623">
              <w:t>Total (TFR)</w:t>
            </w:r>
          </w:p>
        </w:tc>
        <w:tc>
          <w:tcPr>
            <w:tcW w:w="2195" w:type="dxa"/>
            <w:tcBorders>
              <w:top w:val="single" w:sz="4" w:space="0" w:color="auto"/>
              <w:left w:val="nil"/>
              <w:bottom w:val="single" w:sz="4" w:space="0" w:color="auto"/>
              <w:right w:val="nil"/>
            </w:tcBorders>
          </w:tcPr>
          <w:p w14:paraId="3FC28ECF"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rPr>
                <w:b/>
              </w:rPr>
            </w:pPr>
            <w:r w:rsidRPr="00EE3623">
              <w:rPr>
                <w:b/>
              </w:rPr>
              <w:t>2.04</w:t>
            </w:r>
          </w:p>
        </w:tc>
        <w:tc>
          <w:tcPr>
            <w:tcW w:w="2194" w:type="dxa"/>
            <w:tcBorders>
              <w:top w:val="single" w:sz="4" w:space="0" w:color="auto"/>
              <w:left w:val="nil"/>
              <w:bottom w:val="single" w:sz="4" w:space="0" w:color="auto"/>
              <w:right w:val="nil"/>
            </w:tcBorders>
          </w:tcPr>
          <w:p w14:paraId="25ED7903" w14:textId="77777777" w:rsidR="0077551C" w:rsidRPr="00EE3623" w:rsidRDefault="0077551C" w:rsidP="00237CF8">
            <w:pPr>
              <w:pStyle w:val="TableText"/>
              <w:jc w:val="right"/>
              <w:cnfStyle w:val="000000000000" w:firstRow="0" w:lastRow="0" w:firstColumn="0" w:lastColumn="0" w:oddVBand="0" w:evenVBand="0" w:oddHBand="0" w:evenHBand="0" w:firstRowFirstColumn="0" w:firstRowLastColumn="0" w:lastRowFirstColumn="0" w:lastRowLastColumn="0"/>
              <w:rPr>
                <w:b/>
              </w:rPr>
            </w:pPr>
            <w:r w:rsidRPr="00EE3623">
              <w:rPr>
                <w:b/>
              </w:rPr>
              <w:t>1.64</w:t>
            </w:r>
          </w:p>
        </w:tc>
        <w:tc>
          <w:tcPr>
            <w:tcW w:w="2195" w:type="dxa"/>
            <w:tcBorders>
              <w:top w:val="single" w:sz="4" w:space="0" w:color="auto"/>
              <w:left w:val="nil"/>
              <w:bottom w:val="single" w:sz="4" w:space="0" w:color="auto"/>
              <w:right w:val="nil"/>
            </w:tcBorders>
          </w:tcPr>
          <w:p w14:paraId="22482B74" w14:textId="7168598C" w:rsidR="0077551C" w:rsidRPr="00EE3623" w:rsidRDefault="008161F7" w:rsidP="00237CF8">
            <w:pPr>
              <w:pStyle w:val="TableText"/>
              <w:jc w:val="right"/>
              <w:cnfStyle w:val="000000000000" w:firstRow="0" w:lastRow="0" w:firstColumn="0" w:lastColumn="0" w:oddVBand="0" w:evenVBand="0" w:oddHBand="0" w:evenHBand="0" w:firstRowFirstColumn="0" w:firstRowLastColumn="0" w:lastRowFirstColumn="0" w:lastRowLastColumn="0"/>
              <w:rPr>
                <w:b/>
              </w:rPr>
            </w:pPr>
            <w:r>
              <w:rPr>
                <w:b/>
              </w:rPr>
              <w:t>-0.5 %</w:t>
            </w:r>
          </w:p>
        </w:tc>
      </w:tr>
    </w:tbl>
    <w:p w14:paraId="62B42761" w14:textId="7545F29D" w:rsidR="000F5DC4" w:rsidRPr="00EE3623" w:rsidRDefault="000F5DC4" w:rsidP="001A446B">
      <w:pPr>
        <w:pStyle w:val="Source"/>
      </w:pPr>
      <w:r w:rsidRPr="00EE3623">
        <w:t>Source: Age-specific fertility rates for Aboriginal and/or Torres Strait Islander women in 2022 based on own calculations with births from AIHW (2023) and ERP from ABS (2024b).</w:t>
      </w:r>
    </w:p>
    <w:p w14:paraId="6BA14C04" w14:textId="019A69D8" w:rsidR="002E02F8" w:rsidRPr="00EE3623" w:rsidRDefault="002E02F8" w:rsidP="002E02F8">
      <w:r w:rsidRPr="00EE3623">
        <w:t xml:space="preserve">This projection is aligned with the trends in the ABS's most recent estimates and projections of Australia’s Aboriginal </w:t>
      </w:r>
      <w:r w:rsidR="00F51DC1" w:rsidRPr="00EE3623">
        <w:t>and/or Torres</w:t>
      </w:r>
      <w:r w:rsidRPr="00EE3623">
        <w:t xml:space="preserve"> Strait Islander population (2024b). Additionally, the ABS fertility projections indicate a TFR decline of approximately 1.5% per year until 2031. </w:t>
      </w:r>
    </w:p>
    <w:p w14:paraId="253A291F" w14:textId="2A166AEB" w:rsidR="0024094C" w:rsidRPr="00EE3623" w:rsidRDefault="0024094C" w:rsidP="006C58D5">
      <w:pPr>
        <w:rPr>
          <w:rFonts w:asciiTheme="majorHAnsi" w:eastAsiaTheme="majorEastAsia" w:hAnsiTheme="majorHAnsi" w:cstheme="majorBidi"/>
          <w:color w:val="8E610A" w:themeColor="accent1" w:themeShade="BF"/>
          <w:sz w:val="36"/>
          <w:szCs w:val="36"/>
        </w:rPr>
      </w:pPr>
      <w:r w:rsidRPr="00EE3623">
        <w:br w:type="page"/>
      </w:r>
    </w:p>
    <w:p w14:paraId="0F6F6878" w14:textId="6F5A3E85" w:rsidR="00AA6FB6" w:rsidRPr="00EE3623" w:rsidRDefault="001C6617" w:rsidP="00B1119B">
      <w:pPr>
        <w:pStyle w:val="Heading1"/>
      </w:pPr>
      <w:bookmarkStart w:id="7" w:name="_Toc238734062"/>
      <w:r w:rsidRPr="00EE3623">
        <w:lastRenderedPageBreak/>
        <w:t>S</w:t>
      </w:r>
      <w:r w:rsidR="003A5477" w:rsidRPr="00EE3623">
        <w:t>4.</w:t>
      </w:r>
      <w:r w:rsidR="00CE1AFC">
        <w:t> </w:t>
      </w:r>
      <w:r w:rsidR="00AA6FB6" w:rsidRPr="00EE3623">
        <w:t>Country of birth fertility projections</w:t>
      </w:r>
      <w:bookmarkEnd w:id="7"/>
    </w:p>
    <w:p w14:paraId="172FEE98" w14:textId="2ED826AE" w:rsidR="005A53D7" w:rsidRPr="00EE3623" w:rsidRDefault="008603F6" w:rsidP="005A53D7">
      <w:r w:rsidRPr="00EE3623">
        <w:t>Australia has a high proportion of residents born overseas. In 2023, more than one-third (36%) of the estimated resident female population aged 15–49 was born overseas (ABS</w:t>
      </w:r>
      <w:r w:rsidR="00986CDD">
        <w:t> </w:t>
      </w:r>
      <w:r w:rsidRPr="00EE3623">
        <w:t xml:space="preserve">2024a). </w:t>
      </w:r>
      <w:r w:rsidR="00374AED" w:rsidRPr="00EE3623">
        <w:t xml:space="preserve">Australia’s national fertility rate is </w:t>
      </w:r>
      <w:r w:rsidR="00FC44C3" w:rsidRPr="00EE3623">
        <w:t>therefore</w:t>
      </w:r>
      <w:r w:rsidR="00374AED" w:rsidRPr="00EE3623">
        <w:t xml:space="preserve"> shaped by the fertility rates </w:t>
      </w:r>
      <w:r w:rsidR="00FC44C3" w:rsidRPr="00EE3623">
        <w:t>not only of the</w:t>
      </w:r>
      <w:r w:rsidR="00680774" w:rsidRPr="00EE3623">
        <w:t xml:space="preserve"> population born in Australia, </w:t>
      </w:r>
      <w:r w:rsidR="00FC44C3" w:rsidRPr="00EE3623">
        <w:t xml:space="preserve">but also of </w:t>
      </w:r>
      <w:r w:rsidR="00EC7010" w:rsidRPr="00EE3623">
        <w:t xml:space="preserve">the </w:t>
      </w:r>
      <w:r w:rsidR="00235CC9" w:rsidRPr="00EE3623">
        <w:t>migrant</w:t>
      </w:r>
      <w:r w:rsidR="00EC7010" w:rsidRPr="00EE3623">
        <w:t xml:space="preserve"> population. </w:t>
      </w:r>
      <w:r w:rsidR="00A5128A" w:rsidRPr="00EE3623">
        <w:t xml:space="preserve">It is also important to </w:t>
      </w:r>
      <w:r w:rsidR="00B956E8" w:rsidRPr="00EE3623">
        <w:t>acknowledge</w:t>
      </w:r>
      <w:r w:rsidR="00A5128A" w:rsidRPr="00EE3623">
        <w:t xml:space="preserve"> that the impact of migrant fertility on the TFR may be very different from the impact of migrant births on the overall number of births in a country (</w:t>
      </w:r>
      <w:proofErr w:type="spellStart"/>
      <w:r w:rsidR="00A5128A" w:rsidRPr="00EE3623">
        <w:t>Bagavos</w:t>
      </w:r>
      <w:proofErr w:type="spellEnd"/>
      <w:r w:rsidR="00A5128A" w:rsidRPr="00EE3623">
        <w:t xml:space="preserve"> 2019).</w:t>
      </w:r>
    </w:p>
    <w:p w14:paraId="4C258C19" w14:textId="2740291B" w:rsidR="002C3772" w:rsidRPr="00EE3623" w:rsidRDefault="00CA420E" w:rsidP="00AA6FB6">
      <w:r w:rsidRPr="00EE3623">
        <w:t xml:space="preserve">Over time, the </w:t>
      </w:r>
      <w:r w:rsidR="005D792C" w:rsidRPr="00EE3623">
        <w:t>nature of the</w:t>
      </w:r>
      <w:r w:rsidRPr="00EE3623">
        <w:t xml:space="preserve"> migrant population </w:t>
      </w:r>
      <w:r w:rsidR="005D792C" w:rsidRPr="00EE3623">
        <w:t xml:space="preserve">in Australia </w:t>
      </w:r>
      <w:r w:rsidRPr="00EE3623">
        <w:t>has changed significantly</w:t>
      </w:r>
      <w:r w:rsidR="00176130" w:rsidRPr="00EE3623">
        <w:t xml:space="preserve">, both in </w:t>
      </w:r>
      <w:r w:rsidR="005D792C" w:rsidRPr="00EE3623">
        <w:t>terms of its over</w:t>
      </w:r>
      <w:r w:rsidR="00C21A89" w:rsidRPr="00EE3623">
        <w:t>all</w:t>
      </w:r>
      <w:r w:rsidR="005D792C" w:rsidRPr="00EE3623">
        <w:t xml:space="preserve"> level and its composition by country of birth</w:t>
      </w:r>
      <w:r w:rsidRPr="00EE3623">
        <w:t>.</w:t>
      </w:r>
      <w:r w:rsidR="005D792C" w:rsidRPr="00EE3623">
        <w:t xml:space="preserve"> </w:t>
      </w:r>
      <w:r w:rsidR="002133F0" w:rsidRPr="00EE3623">
        <w:t>Overall,</w:t>
      </w:r>
      <w:r w:rsidR="005D792C" w:rsidRPr="00EE3623">
        <w:t xml:space="preserve"> the percentage of the population </w:t>
      </w:r>
      <w:r w:rsidR="00602B03" w:rsidRPr="00EE3623">
        <w:t>born overseas has increased, from 20% in 1971 to 28% in 2021 (Yusuf &amp; Martin 2020; ABS 2022</w:t>
      </w:r>
      <w:r w:rsidR="00D231C6" w:rsidRPr="00EE3623">
        <w:t>b</w:t>
      </w:r>
      <w:r w:rsidR="00602B03" w:rsidRPr="00EE3623">
        <w:t>).</w:t>
      </w:r>
      <w:r w:rsidRPr="00EE3623">
        <w:t xml:space="preserve"> </w:t>
      </w:r>
      <w:r w:rsidR="00602B03" w:rsidRPr="00EE3623">
        <w:t xml:space="preserve">The migrant population has also become </w:t>
      </w:r>
      <w:r w:rsidR="00A146B4" w:rsidRPr="00EE3623">
        <w:t xml:space="preserve">more heterogeneous and there has been a shift in migration intake from Europe to Asia. </w:t>
      </w:r>
      <w:r w:rsidR="00EC1F22" w:rsidRPr="00EE3623">
        <w:t xml:space="preserve">In 1971, </w:t>
      </w:r>
      <w:r w:rsidR="00A979B2" w:rsidRPr="00EE3623">
        <w:t xml:space="preserve">86% </w:t>
      </w:r>
      <w:r w:rsidR="00A146B4" w:rsidRPr="00EE3623">
        <w:t xml:space="preserve">of migrants </w:t>
      </w:r>
      <w:r w:rsidR="00A979B2" w:rsidRPr="00EE3623">
        <w:t>had been born in Europe (including the United Kingdom)</w:t>
      </w:r>
      <w:r w:rsidR="00A146B4" w:rsidRPr="00EE3623">
        <w:t>, but this decreased to just 31</w:t>
      </w:r>
      <w:r w:rsidR="002133F0" w:rsidRPr="00EE3623">
        <w:t>% by</w:t>
      </w:r>
      <w:r w:rsidR="00A146B4" w:rsidRPr="00EE3623">
        <w:t xml:space="preserve"> 2021</w:t>
      </w:r>
      <w:r w:rsidR="00D231C6" w:rsidRPr="00EE3623">
        <w:rPr>
          <w:rStyle w:val="FootnoteReference"/>
        </w:rPr>
        <w:footnoteReference w:id="1"/>
      </w:r>
      <w:r w:rsidR="00A146B4" w:rsidRPr="00EE3623">
        <w:t xml:space="preserve"> </w:t>
      </w:r>
      <w:r w:rsidR="00A979B2" w:rsidRPr="00EE3623">
        <w:t>(Yusuf &amp; Martin 2020</w:t>
      </w:r>
      <w:r w:rsidR="00A146B4" w:rsidRPr="00EE3623">
        <w:t>; ABS 2022</w:t>
      </w:r>
      <w:r w:rsidR="00D231C6" w:rsidRPr="00EE3623">
        <w:t>b</w:t>
      </w:r>
      <w:r w:rsidR="00A979B2" w:rsidRPr="00EE3623">
        <w:t xml:space="preserve">). </w:t>
      </w:r>
      <w:r w:rsidR="006E4106" w:rsidRPr="00EE3623">
        <w:t>The composition of migrants</w:t>
      </w:r>
      <w:r w:rsidR="002C0874" w:rsidRPr="00EE3623">
        <w:t xml:space="preserve"> </w:t>
      </w:r>
      <w:r w:rsidR="006E4106" w:rsidRPr="00EE3623">
        <w:t>has also changed</w:t>
      </w:r>
      <w:r w:rsidR="002C0874" w:rsidRPr="00EE3623">
        <w:t xml:space="preserve"> over time within countries of birth.</w:t>
      </w:r>
    </w:p>
    <w:p w14:paraId="2EF453B8" w14:textId="1076EC79" w:rsidR="004475D8" w:rsidRPr="00EE3623" w:rsidRDefault="004475D8" w:rsidP="004475D8">
      <w:r w:rsidRPr="00EE3623">
        <w:t>At any one point in time</w:t>
      </w:r>
      <w:r w:rsidR="00000AC5" w:rsidRPr="00EE3623">
        <w:t>,</w:t>
      </w:r>
      <w:r w:rsidRPr="00EE3623">
        <w:t xml:space="preserve"> the current characteristics of the migrant population as defined by their country of origin, length of time since migration, and age at arrival in Australia are all determined by past migration trends. A migrant’s fertility and childbearing patterns will be influenced by these factors: how long they have been in Australia, </w:t>
      </w:r>
      <w:r w:rsidR="00557314" w:rsidRPr="00EE3623">
        <w:t>age at arrival</w:t>
      </w:r>
      <w:r w:rsidRPr="00EE3623">
        <w:t>, which country they came from, and more generally by which specific migration pathway they took and whether they arrived as a student, as a skilled migrant, or for another reason.</w:t>
      </w:r>
      <w:r w:rsidR="006E4106" w:rsidRPr="00EE3623">
        <w:t xml:space="preserve"> </w:t>
      </w:r>
    </w:p>
    <w:p w14:paraId="239C0202" w14:textId="0B4269B7" w:rsidR="000A0626" w:rsidRPr="00EE3623" w:rsidRDefault="00E741A6" w:rsidP="000A0626">
      <w:pPr>
        <w:rPr>
          <w:rFonts w:eastAsia="Aptos"/>
        </w:rPr>
      </w:pPr>
      <w:r w:rsidRPr="00EE3623">
        <w:t xml:space="preserve">Prior to the late 1990s, the fertility rate of migrants tended to be higher than that of </w:t>
      </w:r>
      <w:r w:rsidR="00B066C9" w:rsidRPr="00EE3623">
        <w:t>the</w:t>
      </w:r>
      <w:r w:rsidRPr="00EE3623">
        <w:t xml:space="preserve"> Australia</w:t>
      </w:r>
      <w:r w:rsidR="00B066C9" w:rsidRPr="00EE3623">
        <w:t>n born</w:t>
      </w:r>
      <w:r w:rsidRPr="00EE3623">
        <w:t xml:space="preserve">. </w:t>
      </w:r>
      <w:r w:rsidR="00D30FD8" w:rsidRPr="00EE3623">
        <w:t xml:space="preserve">For example, in </w:t>
      </w:r>
      <w:r w:rsidR="00C06E1F" w:rsidRPr="00EE3623">
        <w:t>1981 the fertility rate of Australian born women was 1.99, whereas it was 2.14 for women born overseas (Martin</w:t>
      </w:r>
      <w:r w:rsidR="00BB69E1" w:rsidRPr="00EE3623">
        <w:t>s</w:t>
      </w:r>
      <w:r w:rsidR="00C06E1F" w:rsidRPr="00EE3623">
        <w:t xml:space="preserve"> &amp; Yusuf 2020). </w:t>
      </w:r>
      <w:r w:rsidR="00BB69E1" w:rsidRPr="00EE3623">
        <w:t xml:space="preserve">Since </w:t>
      </w:r>
      <w:r w:rsidR="00254F69" w:rsidRPr="00EE3623">
        <w:t>1998</w:t>
      </w:r>
      <w:r w:rsidR="00CE66D9" w:rsidRPr="00EE3623">
        <w:t>,</w:t>
      </w:r>
      <w:r w:rsidR="00254F69" w:rsidRPr="00EE3623">
        <w:t xml:space="preserve"> the </w:t>
      </w:r>
      <w:r w:rsidR="009F129B" w:rsidRPr="00EE3623">
        <w:t xml:space="preserve">TFR of women born overseas has switched to being </w:t>
      </w:r>
      <w:r w:rsidR="009F129B" w:rsidRPr="00EE3623">
        <w:rPr>
          <w:i/>
          <w:iCs/>
        </w:rPr>
        <w:t>lower</w:t>
      </w:r>
      <w:r w:rsidR="009F129B" w:rsidRPr="00EE3623">
        <w:t xml:space="preserve"> than that of women born in Australia (ABS 200</w:t>
      </w:r>
      <w:r w:rsidR="00D00085" w:rsidRPr="00EE3623">
        <w:t>2</w:t>
      </w:r>
      <w:r w:rsidR="009F129B" w:rsidRPr="00EE3623">
        <w:t>)</w:t>
      </w:r>
      <w:r w:rsidR="000A0626" w:rsidRPr="00EE3623">
        <w:t xml:space="preserve">. </w:t>
      </w:r>
      <w:r w:rsidR="000A0626" w:rsidRPr="00EE3623">
        <w:rPr>
          <w:rFonts w:eastAsia="Aptos"/>
        </w:rPr>
        <w:t xml:space="preserve">This shift </w:t>
      </w:r>
      <w:r w:rsidR="002133F0" w:rsidRPr="00EE3623">
        <w:rPr>
          <w:rFonts w:eastAsia="Aptos"/>
        </w:rPr>
        <w:t>has been driven</w:t>
      </w:r>
      <w:r w:rsidR="000A0626" w:rsidRPr="00EE3623">
        <w:rPr>
          <w:rFonts w:eastAsia="Aptos"/>
        </w:rPr>
        <w:t xml:space="preserve"> by two key factors: (1) declining fertility rates globally, particularly in Asia, and (2) Australia’s skilled migration policy, which prioritises migrants with higher education and specific occupational experience</w:t>
      </w:r>
      <w:r w:rsidR="003866F7" w:rsidRPr="00EE3623">
        <w:rPr>
          <w:rFonts w:eastAsia="Aptos"/>
        </w:rPr>
        <w:t xml:space="preserve"> (</w:t>
      </w:r>
      <w:r w:rsidR="002133F0" w:rsidRPr="00EE3623">
        <w:t xml:space="preserve">Martins &amp; Yusuf 2020; </w:t>
      </w:r>
      <w:r w:rsidR="003866F7" w:rsidRPr="00EE3623">
        <w:rPr>
          <w:rFonts w:eastAsia="Aptos"/>
        </w:rPr>
        <w:t xml:space="preserve">Baffour </w:t>
      </w:r>
      <w:r w:rsidR="003866F7" w:rsidRPr="00EE3623">
        <w:rPr>
          <w:rFonts w:eastAsia="Aptos"/>
          <w:i/>
          <w:iCs/>
        </w:rPr>
        <w:t>et al.</w:t>
      </w:r>
      <w:r w:rsidR="003866F7" w:rsidRPr="00EE3623">
        <w:rPr>
          <w:rFonts w:eastAsia="Aptos"/>
        </w:rPr>
        <w:t xml:space="preserve"> 2023).</w:t>
      </w:r>
    </w:p>
    <w:p w14:paraId="591BAE49" w14:textId="355A917E" w:rsidR="00FD2E97" w:rsidRPr="00EE3623" w:rsidRDefault="00FB13D0" w:rsidP="00CA7155">
      <w:r w:rsidRPr="00EE3623">
        <w:t>In this section</w:t>
      </w:r>
      <w:r w:rsidR="00CE66D9" w:rsidRPr="00EE3623">
        <w:t>,</w:t>
      </w:r>
      <w:r w:rsidRPr="00EE3623">
        <w:t xml:space="preserve"> we examine the historical trends, and possible fertility futures, </w:t>
      </w:r>
      <w:r w:rsidR="00AA6FB6" w:rsidRPr="00EE3623">
        <w:t xml:space="preserve">for the 10 largest overseas-born estimated resident </w:t>
      </w:r>
      <w:r w:rsidR="00D771DC" w:rsidRPr="00EE3623">
        <w:t xml:space="preserve">female </w:t>
      </w:r>
      <w:r w:rsidR="00AA6FB6" w:rsidRPr="00EE3623">
        <w:t>populations</w:t>
      </w:r>
      <w:r w:rsidR="00D771DC" w:rsidRPr="00EE3623">
        <w:t xml:space="preserve"> aged 15</w:t>
      </w:r>
      <w:r w:rsidR="0071623D" w:rsidRPr="0071623D">
        <w:t>–</w:t>
      </w:r>
      <w:r w:rsidR="00D771DC" w:rsidRPr="00EE3623">
        <w:t>49</w:t>
      </w:r>
      <w:r w:rsidR="00AA6FB6" w:rsidRPr="00EE3623">
        <w:t xml:space="preserve"> in Australia in 2023.</w:t>
      </w:r>
      <w:r w:rsidR="00D771DC" w:rsidRPr="00EE3623">
        <w:t xml:space="preserve"> The size of each population </w:t>
      </w:r>
      <w:r w:rsidR="006F5AEE" w:rsidRPr="00EE3623">
        <w:t>is shown in Table S</w:t>
      </w:r>
      <w:r w:rsidR="000A66D0">
        <w:t>4</w:t>
      </w:r>
      <w:r w:rsidR="00141F1E" w:rsidRPr="00EE3623">
        <w:t xml:space="preserve">. </w:t>
      </w:r>
      <w:r w:rsidR="00FD2E97" w:rsidRPr="00EE3623">
        <w:t xml:space="preserve">It is important to note that </w:t>
      </w:r>
      <w:r w:rsidR="00AA6FB6" w:rsidRPr="00EE3623">
        <w:t xml:space="preserve">the </w:t>
      </w:r>
      <w:r w:rsidR="006F5AEE" w:rsidRPr="00EE3623">
        <w:t>top 10 countries ranked by the size of the female population aged 15</w:t>
      </w:r>
      <w:r w:rsidR="0071623D" w:rsidRPr="0071623D">
        <w:t>–</w:t>
      </w:r>
      <w:r w:rsidR="006F5AEE" w:rsidRPr="00EE3623">
        <w:t xml:space="preserve">49 </w:t>
      </w:r>
      <w:r w:rsidR="00141F1E" w:rsidRPr="00EE3623">
        <w:t>is not necessarily the same as the top 10 countries of birth that would be selected if the number of births were used as the ranking indicator instead.</w:t>
      </w:r>
    </w:p>
    <w:p w14:paraId="3AFBF17C" w14:textId="7F17CD09" w:rsidR="0068461A" w:rsidRPr="00EE3623" w:rsidRDefault="00FD2E97" w:rsidP="00E96983">
      <w:r w:rsidRPr="00EE3623">
        <w:t>It is also important to keep in mind that the</w:t>
      </w:r>
      <w:r w:rsidR="006A0109" w:rsidRPr="00EE3623">
        <w:t xml:space="preserve"> ranking </w:t>
      </w:r>
      <w:r w:rsidR="0018040E" w:rsidRPr="00EE3623">
        <w:t xml:space="preserve">is dynamic </w:t>
      </w:r>
      <w:r w:rsidR="00E96983" w:rsidRPr="00EE3623">
        <w:t>with the</w:t>
      </w:r>
      <w:r w:rsidR="00AA6FB6" w:rsidRPr="00EE3623">
        <w:t xml:space="preserve"> ranking of the top 10 countries of birth </w:t>
      </w:r>
      <w:r w:rsidR="00E96983" w:rsidRPr="00EE3623">
        <w:t>shifting</w:t>
      </w:r>
      <w:r w:rsidR="00AA6FB6" w:rsidRPr="00EE3623">
        <w:t xml:space="preserve"> over time, reflecting changing immigration trends (Rayme</w:t>
      </w:r>
      <w:r w:rsidR="00C14B85">
        <w:t>r</w:t>
      </w:r>
      <w:r w:rsidR="00CE1AFC">
        <w:t> </w:t>
      </w:r>
      <w:r w:rsidR="00AA6FB6" w:rsidRPr="00EE3623">
        <w:rPr>
          <w:i/>
          <w:iCs/>
        </w:rPr>
        <w:t>et</w:t>
      </w:r>
      <w:r w:rsidR="00CE1AFC">
        <w:rPr>
          <w:i/>
          <w:iCs/>
        </w:rPr>
        <w:t> </w:t>
      </w:r>
      <w:r w:rsidR="00AA6FB6" w:rsidRPr="00EE3623">
        <w:rPr>
          <w:i/>
          <w:iCs/>
        </w:rPr>
        <w:t>al.</w:t>
      </w:r>
      <w:r w:rsidR="00AA6FB6" w:rsidRPr="00EE3623">
        <w:t xml:space="preserve"> 2020). For example, in 2016, the three largest overseas-born groups were from the United Kingdom, New Zealand, and China, whereas by 2021, India had replaced New Zealand in the top three. As such</w:t>
      </w:r>
      <w:r w:rsidR="00295D50" w:rsidRPr="00EE3623">
        <w:t>,</w:t>
      </w:r>
      <w:r w:rsidR="00AA6FB6" w:rsidRPr="00EE3623">
        <w:t xml:space="preserve"> the top 10 countries projected may not all remain in the dominant positions in the future period for which fertility is being projected</w:t>
      </w:r>
      <w:r w:rsidR="004C5C47" w:rsidRPr="00EE3623">
        <w:t xml:space="preserve"> as rankings will be influenced by specific migration policies of the Australian Government, but also global and national factors in the sending countries.</w:t>
      </w:r>
      <w:r w:rsidR="00AA6FB6" w:rsidRPr="00EE3623">
        <w:t xml:space="preserve"> Moreover, the current age-</w:t>
      </w:r>
      <w:r w:rsidR="00AA6FB6" w:rsidRPr="00EE3623">
        <w:lastRenderedPageBreak/>
        <w:t xml:space="preserve">sex compositions will change depending on the retention and ageing of current migrants and the levels of future immigration (Raymer </w:t>
      </w:r>
      <w:r w:rsidR="00AA6FB6" w:rsidRPr="00EE3623">
        <w:rPr>
          <w:i/>
        </w:rPr>
        <w:t>et al.</w:t>
      </w:r>
      <w:r w:rsidR="00AA6FB6" w:rsidRPr="00EE3623">
        <w:t xml:space="preserve"> 2025). </w:t>
      </w:r>
    </w:p>
    <w:p w14:paraId="4B9DD604" w14:textId="63FE8144" w:rsidR="008E00FB" w:rsidRPr="00EE3623" w:rsidRDefault="001D3116" w:rsidP="00AA6FB6">
      <w:r w:rsidRPr="00EE3623">
        <w:t xml:space="preserve">We </w:t>
      </w:r>
      <w:r w:rsidR="006918F7" w:rsidRPr="00EE3623">
        <w:t xml:space="preserve">examine recent trends in the fertility rates of the top 10 overseas-born populations, </w:t>
      </w:r>
      <w:r w:rsidR="00B754D8" w:rsidRPr="00EE3623">
        <w:t>focusing on the period between 2003 and 2023, using data on fertility rates by 5-year age group published by the ABS (</w:t>
      </w:r>
      <w:r w:rsidR="00170EFC" w:rsidRPr="00EE3623">
        <w:t>200</w:t>
      </w:r>
      <w:r w:rsidR="008B2473" w:rsidRPr="00EE3623">
        <w:t>4,</w:t>
      </w:r>
      <w:r w:rsidR="00A22D5B" w:rsidRPr="00EE3623">
        <w:t xml:space="preserve"> </w:t>
      </w:r>
      <w:r w:rsidR="008B2473" w:rsidRPr="00EE3623">
        <w:t>2005,</w:t>
      </w:r>
      <w:r w:rsidR="00A22D5B" w:rsidRPr="00EE3623">
        <w:t xml:space="preserve"> </w:t>
      </w:r>
      <w:r w:rsidR="008B2473" w:rsidRPr="00EE3623">
        <w:t>2006,</w:t>
      </w:r>
      <w:r w:rsidR="00A22D5B" w:rsidRPr="00EE3623">
        <w:t xml:space="preserve"> </w:t>
      </w:r>
      <w:r w:rsidR="008B2473" w:rsidRPr="00EE3623">
        <w:t>2007,</w:t>
      </w:r>
      <w:r w:rsidR="00A22D5B" w:rsidRPr="00EE3623">
        <w:t xml:space="preserve"> </w:t>
      </w:r>
      <w:r w:rsidR="008B2473" w:rsidRPr="00EE3623">
        <w:t>2008b,</w:t>
      </w:r>
      <w:r w:rsidR="00A22D5B" w:rsidRPr="00EE3623">
        <w:t xml:space="preserve"> </w:t>
      </w:r>
      <w:r w:rsidR="008B2473" w:rsidRPr="00EE3623">
        <w:t>2009</w:t>
      </w:r>
      <w:r w:rsidR="00A22D5B" w:rsidRPr="00EE3623">
        <w:t xml:space="preserve"> </w:t>
      </w:r>
      <w:r w:rsidR="008B2473" w:rsidRPr="00EE3623">
        <w:t>,2010,</w:t>
      </w:r>
      <w:r w:rsidR="00A22D5B" w:rsidRPr="00EE3623">
        <w:t xml:space="preserve"> </w:t>
      </w:r>
      <w:r w:rsidR="008B2473" w:rsidRPr="00EE3623">
        <w:t>2011,</w:t>
      </w:r>
      <w:r w:rsidR="00A22D5B" w:rsidRPr="00EE3623">
        <w:t xml:space="preserve"> </w:t>
      </w:r>
      <w:r w:rsidR="008B2473" w:rsidRPr="00EE3623">
        <w:t>2012,</w:t>
      </w:r>
      <w:r w:rsidR="00A22D5B" w:rsidRPr="00EE3623">
        <w:t xml:space="preserve"> </w:t>
      </w:r>
      <w:r w:rsidR="008B2473" w:rsidRPr="00EE3623">
        <w:t>2013,</w:t>
      </w:r>
      <w:r w:rsidR="00A22D5B" w:rsidRPr="00EE3623">
        <w:t xml:space="preserve"> </w:t>
      </w:r>
      <w:r w:rsidR="008B2473" w:rsidRPr="00EE3623">
        <w:t>2014,</w:t>
      </w:r>
      <w:r w:rsidR="00A22D5B" w:rsidRPr="00EE3623">
        <w:t xml:space="preserve"> </w:t>
      </w:r>
      <w:r w:rsidR="008B2473" w:rsidRPr="00EE3623">
        <w:t>2015</w:t>
      </w:r>
      <w:r w:rsidR="00A22D5B" w:rsidRPr="00EE3623">
        <w:t xml:space="preserve"> </w:t>
      </w:r>
      <w:r w:rsidR="008B2473" w:rsidRPr="00EE3623">
        <w:t>,2016,</w:t>
      </w:r>
      <w:r w:rsidR="00A22D5B" w:rsidRPr="00EE3623">
        <w:t xml:space="preserve"> </w:t>
      </w:r>
      <w:r w:rsidR="008B2473" w:rsidRPr="00EE3623">
        <w:t>2017,</w:t>
      </w:r>
      <w:r w:rsidR="00A22D5B" w:rsidRPr="00EE3623">
        <w:t xml:space="preserve"> </w:t>
      </w:r>
      <w:r w:rsidR="008B2473" w:rsidRPr="00EE3623">
        <w:t>2018,</w:t>
      </w:r>
      <w:r w:rsidR="00A22D5B" w:rsidRPr="00EE3623">
        <w:t xml:space="preserve"> 2019, 2020, 2021b, </w:t>
      </w:r>
      <w:r w:rsidR="006F2A65" w:rsidRPr="00EE3623">
        <w:t xml:space="preserve">2022a, </w:t>
      </w:r>
      <w:r w:rsidR="00A22D5B" w:rsidRPr="00EE3623">
        <w:t>2023b, 2024</w:t>
      </w:r>
      <w:r w:rsidR="002D64B5" w:rsidRPr="00EE3623">
        <w:t>a</w:t>
      </w:r>
      <w:r w:rsidR="00B754D8" w:rsidRPr="00EE3623">
        <w:t xml:space="preserve">). </w:t>
      </w:r>
      <w:r w:rsidR="00513ED8" w:rsidRPr="00EE3623">
        <w:t xml:space="preserve">The fertility rates of the specific </w:t>
      </w:r>
      <w:r w:rsidR="008F4558" w:rsidRPr="00EE3623">
        <w:t>overseas-born</w:t>
      </w:r>
      <w:r w:rsidR="00513ED8" w:rsidRPr="00EE3623">
        <w:t xml:space="preserve"> populations </w:t>
      </w:r>
      <w:r w:rsidR="00AA6FB6" w:rsidRPr="00EE3623">
        <w:t>exhibited substantially higher variability than the corresponding rates for the Australian total population.</w:t>
      </w:r>
      <w:r w:rsidR="00091C0F" w:rsidRPr="00EE3623">
        <w:t xml:space="preserve"> This variability is likely due to their smaller population size, </w:t>
      </w:r>
      <w:r w:rsidR="005C1946" w:rsidRPr="00EE3623">
        <w:t>and</w:t>
      </w:r>
      <w:r w:rsidR="00091C0F" w:rsidRPr="00EE3623">
        <w:t xml:space="preserve"> </w:t>
      </w:r>
      <w:r w:rsidR="00B42921" w:rsidRPr="00EE3623">
        <w:t xml:space="preserve">because </w:t>
      </w:r>
      <w:r w:rsidR="00091C0F" w:rsidRPr="00EE3623">
        <w:t xml:space="preserve">the size and age composition of the </w:t>
      </w:r>
      <w:r w:rsidR="003C659A" w:rsidRPr="00EE3623">
        <w:t xml:space="preserve">populations may change abruptly, due to </w:t>
      </w:r>
      <w:r w:rsidR="008E00FB" w:rsidRPr="00EE3623">
        <w:t>immigration</w:t>
      </w:r>
      <w:r w:rsidR="00B42921" w:rsidRPr="00EE3623">
        <w:t xml:space="preserve"> intakes</w:t>
      </w:r>
      <w:r w:rsidR="00AA6FB6" w:rsidRPr="00EE3623">
        <w:t xml:space="preserve">. </w:t>
      </w:r>
      <w:r w:rsidR="00B42921" w:rsidRPr="00EE3623">
        <w:t>As such</w:t>
      </w:r>
      <w:r w:rsidR="00AA6FB6" w:rsidRPr="00EE3623">
        <w:t xml:space="preserve">, projections should </w:t>
      </w:r>
      <w:r w:rsidR="008E00FB" w:rsidRPr="00EE3623">
        <w:t>b</w:t>
      </w:r>
      <w:r w:rsidR="00AA6FB6" w:rsidRPr="00EE3623">
        <w:t xml:space="preserve">e used with caution. </w:t>
      </w:r>
    </w:p>
    <w:p w14:paraId="50CD76B9" w14:textId="1F976FDB" w:rsidR="00820C28" w:rsidRPr="00EE3623" w:rsidRDefault="00FE0B87" w:rsidP="00AA6FB6">
      <w:r w:rsidRPr="00EE3623">
        <w:t>As seen in Table S</w:t>
      </w:r>
      <w:r w:rsidR="000A66D0">
        <w:t>4</w:t>
      </w:r>
      <w:r w:rsidRPr="00EE3623">
        <w:t xml:space="preserve">, and in Figure </w:t>
      </w:r>
      <w:r w:rsidR="004C5C47" w:rsidRPr="00EE3623">
        <w:t>S8</w:t>
      </w:r>
      <w:r w:rsidRPr="00EE3623">
        <w:t xml:space="preserve"> in </w:t>
      </w:r>
      <w:r w:rsidR="00414325" w:rsidRPr="00EE3623">
        <w:t>over 2021</w:t>
      </w:r>
      <w:r w:rsidR="0071623D" w:rsidRPr="0071623D">
        <w:t>–</w:t>
      </w:r>
      <w:r w:rsidR="00414325" w:rsidRPr="00EE3623">
        <w:t xml:space="preserve">2023, the </w:t>
      </w:r>
      <w:r w:rsidR="00971CAC" w:rsidRPr="00EE3623">
        <w:t>TFR</w:t>
      </w:r>
      <w:r w:rsidR="00414325" w:rsidRPr="00EE3623">
        <w:t xml:space="preserve"> of Australian born women was estimated to be 1.</w:t>
      </w:r>
      <w:r w:rsidR="00CE2825" w:rsidRPr="00EE3623">
        <w:t>69, and this was significantly higher than most of the top 10</w:t>
      </w:r>
      <w:r w:rsidR="00CE1AFC">
        <w:t> </w:t>
      </w:r>
      <w:r w:rsidR="00CE2825" w:rsidRPr="00EE3623">
        <w:t xml:space="preserve">countries, </w:t>
      </w:r>
      <w:r w:rsidR="00971CAC" w:rsidRPr="00EE3623">
        <w:t>except</w:t>
      </w:r>
      <w:r w:rsidR="00CE2825" w:rsidRPr="00EE3623">
        <w:t xml:space="preserve"> </w:t>
      </w:r>
      <w:r w:rsidR="001A1C82" w:rsidRPr="00EE3623">
        <w:t>women born in New Zealand w</w:t>
      </w:r>
      <w:r w:rsidR="004C5C47" w:rsidRPr="00EE3623">
        <w:t xml:space="preserve">ho </w:t>
      </w:r>
      <w:r w:rsidR="001A1C82" w:rsidRPr="00EE3623">
        <w:t>had an estimated TFR of 1.83</w:t>
      </w:r>
      <w:r w:rsidR="00820C28" w:rsidRPr="00EE3623">
        <w:t xml:space="preserve">. </w:t>
      </w:r>
      <w:r w:rsidR="00A826D2" w:rsidRPr="00EE3623">
        <w:t xml:space="preserve">Women born in the United Kingdom, and South Africa also recorded relatively high </w:t>
      </w:r>
      <w:r w:rsidR="00A336C3" w:rsidRPr="00EE3623">
        <w:t>fertility rates of 1.63 and 1.52 children per woman</w:t>
      </w:r>
      <w:r w:rsidR="00A354AF" w:rsidRPr="00EE3623">
        <w:t>,</w:t>
      </w:r>
      <w:r w:rsidR="00A336C3" w:rsidRPr="00EE3623">
        <w:t xml:space="preserve"> respectively. For all other countries</w:t>
      </w:r>
      <w:r w:rsidR="0058548C" w:rsidRPr="00EE3623">
        <w:t>,</w:t>
      </w:r>
      <w:r w:rsidR="00A336C3" w:rsidRPr="00EE3623">
        <w:t xml:space="preserve"> the values were significantly lower</w:t>
      </w:r>
      <w:r w:rsidR="0058548C" w:rsidRPr="00EE3623">
        <w:t>,</w:t>
      </w:r>
      <w:r w:rsidR="00A336C3" w:rsidRPr="00EE3623">
        <w:t xml:space="preserve"> and in the case</w:t>
      </w:r>
      <w:r w:rsidR="004930C5" w:rsidRPr="00EE3623">
        <w:t>s</w:t>
      </w:r>
      <w:r w:rsidR="00A336C3" w:rsidRPr="00EE3623">
        <w:t xml:space="preserve"> of China and Thailand reached under 1 child per woman.</w:t>
      </w:r>
    </w:p>
    <w:p w14:paraId="1DB60A5F" w14:textId="3550BBCD" w:rsidR="00A336C3" w:rsidRPr="00EE3623" w:rsidRDefault="00357348" w:rsidP="00986CDD">
      <w:r w:rsidRPr="00EE3623">
        <w:t>These very low fertility levels can be attributed to the selective characteristics of migrants. For instance, in 2021, only 8% of Australian-born women aged 25–29 were full-</w:t>
      </w:r>
      <w:r w:rsidR="00986CDD">
        <w:rPr>
          <w:rFonts w:ascii="Times New Roman" w:hAnsi="Times New Roman" w:cs="Times New Roman"/>
        </w:rPr>
        <w:t>‍</w:t>
      </w:r>
      <w:r w:rsidRPr="00EE3623">
        <w:t>time students, compared to 25% of women born in China and 23% of those born in India (ABS 2021c). The overseas-born populatio</w:t>
      </w:r>
      <w:r w:rsidR="00B879DA" w:rsidRPr="00EE3623">
        <w:t xml:space="preserve">n, </w:t>
      </w:r>
      <w:r w:rsidRPr="00EE3623">
        <w:t>particularly those who have arrived more recently</w:t>
      </w:r>
      <w:r w:rsidR="00B879DA" w:rsidRPr="00EE3623">
        <w:t xml:space="preserve">, </w:t>
      </w:r>
      <w:r w:rsidRPr="00EE3623">
        <w:t>is highly selective, making it challenging to draw fair comparisons using indicators such as the total fertility rate (TFR).</w:t>
      </w:r>
      <w:r w:rsidR="00DA4E0A" w:rsidRPr="00EE3623">
        <w:t xml:space="preserve"> </w:t>
      </w:r>
    </w:p>
    <w:p w14:paraId="0E5C80D1" w14:textId="01812101" w:rsidR="005D1315" w:rsidRPr="002D09C3" w:rsidRDefault="005D1315" w:rsidP="002D09C3">
      <w:pPr>
        <w:rPr>
          <w:rStyle w:val="Strong"/>
        </w:rPr>
      </w:pPr>
      <w:r w:rsidRPr="002D09C3">
        <w:rPr>
          <w:rStyle w:val="Strong"/>
        </w:rPr>
        <w:t>Figure</w:t>
      </w:r>
      <w:r w:rsidR="005C7460" w:rsidRPr="002D09C3">
        <w:rPr>
          <w:rStyle w:val="Strong"/>
        </w:rPr>
        <w:t> </w:t>
      </w:r>
      <w:r w:rsidRPr="002D09C3">
        <w:rPr>
          <w:rStyle w:val="Strong"/>
        </w:rPr>
        <w:t>S</w:t>
      </w:r>
      <w:r w:rsidRPr="002D09C3">
        <w:rPr>
          <w:rStyle w:val="Strong"/>
        </w:rPr>
        <w:fldChar w:fldCharType="begin"/>
      </w:r>
      <w:r w:rsidRPr="002D09C3">
        <w:rPr>
          <w:rStyle w:val="Strong"/>
        </w:rPr>
        <w:instrText xml:space="preserve"> SEQ Figure_S \* ARABIC </w:instrText>
      </w:r>
      <w:r w:rsidRPr="002D09C3">
        <w:rPr>
          <w:rStyle w:val="Strong"/>
        </w:rPr>
        <w:fldChar w:fldCharType="separate"/>
      </w:r>
      <w:r w:rsidRPr="002D09C3">
        <w:rPr>
          <w:rStyle w:val="Strong"/>
        </w:rPr>
        <w:t>8</w:t>
      </w:r>
      <w:r w:rsidRPr="002D09C3">
        <w:rPr>
          <w:rStyle w:val="Strong"/>
        </w:rPr>
        <w:fldChar w:fldCharType="end"/>
      </w:r>
      <w:r w:rsidRPr="002D09C3">
        <w:rPr>
          <w:rStyle w:val="Strong"/>
        </w:rPr>
        <w:t xml:space="preserve">: Age-specific fertility rates </w:t>
      </w:r>
      <w:r w:rsidR="008638F2" w:rsidRPr="002D09C3">
        <w:rPr>
          <w:rStyle w:val="Strong"/>
        </w:rPr>
        <w:t>by country of birth, 2021</w:t>
      </w:r>
      <w:r w:rsidR="0071623D" w:rsidRPr="002D09C3">
        <w:rPr>
          <w:rStyle w:val="Strong"/>
        </w:rPr>
        <w:t>–</w:t>
      </w:r>
      <w:r w:rsidR="008638F2" w:rsidRPr="002D09C3">
        <w:rPr>
          <w:rStyle w:val="Strong"/>
        </w:rPr>
        <w:t xml:space="preserve">2023 average </w:t>
      </w:r>
    </w:p>
    <w:p w14:paraId="7EB9CFB0" w14:textId="64C64664" w:rsidR="00AA6FB6" w:rsidRPr="00EE3623" w:rsidRDefault="00611DBE" w:rsidP="001A446B">
      <w:pPr>
        <w:pStyle w:val="Source"/>
      </w:pPr>
      <w:r w:rsidRPr="00EE3623">
        <w:rPr>
          <w:noProof/>
        </w:rPr>
        <w:drawing>
          <wp:anchor distT="0" distB="0" distL="114300" distR="114300" simplePos="0" relativeHeight="251658240" behindDoc="0" locked="0" layoutInCell="1" allowOverlap="1" wp14:anchorId="25583C26" wp14:editId="3CE0AE85">
            <wp:simplePos x="0" y="0"/>
            <wp:positionH relativeFrom="column">
              <wp:posOffset>2540</wp:posOffset>
            </wp:positionH>
            <wp:positionV relativeFrom="paragraph">
              <wp:posOffset>3810</wp:posOffset>
            </wp:positionV>
            <wp:extent cx="5580380" cy="3344545"/>
            <wp:effectExtent l="0" t="0" r="1270" b="8255"/>
            <wp:wrapTopAndBottom/>
            <wp:docPr id="168318" name="Picture 9" descr="The y-axis shows ASFR per 1,000, ranging from 0 to 125. The x-axis shows five-year age groups from 15–19 to 45–49. The chart compares fertility rates for women born in Australia, 10 individual overseas countries, and an aggregated total for overseas-born women.&#10;&#10;The fertility curve for Australia peaks in the 30–34 age group at just over 120 births per 1,000 women. Most overseas-born groups show similar curve shapes, peaking at ages 30–34, though levels vary. For example, Indian- and Chinese-born women have noticeably lower fertility at younger ages and flatter curves overall. In contrast, women born in the  New Zealand have relatively higher fertility at earlier 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8" name="Picture 9" descr="The y-axis shows ASFR per 1,000, ranging from 0 to 125. The x-axis shows five-year age groups from 15–19 to 45–49. The chart compares fertility rates for women born in Australia, 10 individual overseas countries, and an aggregated total for overseas-born women.&#10;&#10;The fertility curve for Australia peaks in the 30–34 age group at just over 120 births per 1,000 women. Most overseas-born groups show similar curve shapes, peaking at ages 30–34, though levels vary. For example, Indian- and Chinese-born women have noticeably lower fertility at younger ages and flatter curves overall. In contrast, women born in the  New Zealand have relatively higher fertility at earlier ages. "/>
                    <pic:cNvPicPr/>
                  </pic:nvPicPr>
                  <pic:blipFill>
                    <a:blip r:embed="rId22"/>
                    <a:stretch>
                      <a:fillRect/>
                    </a:stretch>
                  </pic:blipFill>
                  <pic:spPr>
                    <a:xfrm>
                      <a:off x="0" y="0"/>
                      <a:ext cx="5580380" cy="3344545"/>
                    </a:xfrm>
                    <a:prstGeom prst="rect">
                      <a:avLst/>
                    </a:prstGeom>
                  </pic:spPr>
                </pic:pic>
              </a:graphicData>
            </a:graphic>
          </wp:anchor>
        </w:drawing>
      </w:r>
      <w:r w:rsidR="00A22D5B" w:rsidRPr="00EE3623">
        <w:t xml:space="preserve">Source: Data from </w:t>
      </w:r>
      <w:r w:rsidR="002D64B5" w:rsidRPr="00EE3623">
        <w:t>Australian Bureau of Statistics (2024a)</w:t>
      </w:r>
      <w:r w:rsidR="003772D9" w:rsidRPr="00EE3623">
        <w:t>.</w:t>
      </w:r>
    </w:p>
    <w:p w14:paraId="5E50443B" w14:textId="3636F668" w:rsidR="00A56663" w:rsidRPr="00EE3623" w:rsidRDefault="00A56663" w:rsidP="00A56663">
      <w:r w:rsidRPr="00EE3623">
        <w:t>Given the ongoing importance of international migration in shaping Australia’s demographic landscape, examining the fertility patterns of different immigrant groups is essential. It is important however</w:t>
      </w:r>
      <w:r w:rsidR="007E67F6" w:rsidRPr="00EE3623">
        <w:t>,</w:t>
      </w:r>
      <w:r w:rsidRPr="00EE3623">
        <w:t xml:space="preserve"> to exercise caution in comparing the fertility rates of </w:t>
      </w:r>
      <w:r w:rsidR="003141C7" w:rsidRPr="00EE3623">
        <w:t>overseas-born</w:t>
      </w:r>
      <w:r w:rsidRPr="00EE3623">
        <w:t xml:space="preserve"> and the </w:t>
      </w:r>
      <w:r w:rsidR="003141C7" w:rsidRPr="00EE3623">
        <w:t>Australian-born</w:t>
      </w:r>
      <w:r w:rsidRPr="00EE3623">
        <w:t xml:space="preserve"> population, over time and across migrant groups, particularly when using synthetic fertility indicators such as TFR. The TFR is designed on </w:t>
      </w:r>
      <w:r w:rsidRPr="00EE3623">
        <w:lastRenderedPageBreak/>
        <w:t xml:space="preserve">the assumption that the same group of women are followed over a hypothetical life course. In the case of migrant women who may enter or exit the population at different ages, this brings up </w:t>
      </w:r>
      <w:r w:rsidR="004E42B9" w:rsidRPr="00EE3623">
        <w:t>several</w:t>
      </w:r>
      <w:r w:rsidRPr="00EE3623">
        <w:t xml:space="preserve"> conceptual and interpretative challenges. </w:t>
      </w:r>
    </w:p>
    <w:p w14:paraId="48566CD7" w14:textId="7BB166CE" w:rsidR="00A56663" w:rsidRPr="00EE3623" w:rsidRDefault="00A56663" w:rsidP="00A56663">
      <w:r w:rsidRPr="00EE3623">
        <w:t>Given these challenges of estimating future migrant fertility, in projecting the TFR by country of origin</w:t>
      </w:r>
      <w:r w:rsidR="004E42B9" w:rsidRPr="00EE3623">
        <w:t>,</w:t>
      </w:r>
      <w:r w:rsidRPr="00EE3623">
        <w:t xml:space="preserve"> we took a conservative approach and assumed that the overall trends of the last 20 years would continue, although at a slower or da</w:t>
      </w:r>
      <w:r w:rsidR="00031B96" w:rsidRPr="00EE3623">
        <w:t>mpene</w:t>
      </w:r>
      <w:r w:rsidRPr="00EE3623">
        <w:t>d rate. For each country and 5-year age group</w:t>
      </w:r>
      <w:r w:rsidR="00031B96" w:rsidRPr="00EE3623">
        <w:t>,</w:t>
      </w:r>
      <w:r w:rsidRPr="00EE3623">
        <w:t xml:space="preserve"> we estimated the linear slope of changes in the fertility rate over time. The slope was then used to project the future values of the age-specific fertility rate using different damping levels depending on the level of fertility. The results are shown in Table</w:t>
      </w:r>
      <w:r w:rsidR="008A4F9C">
        <w:t> </w:t>
      </w:r>
      <w:r w:rsidRPr="00EE3623">
        <w:t>S</w:t>
      </w:r>
      <w:r w:rsidR="000A66D0">
        <w:t>4</w:t>
      </w:r>
      <w:r w:rsidRPr="00EE3623">
        <w:t xml:space="preserve"> and Figure</w:t>
      </w:r>
      <w:r w:rsidR="008A4F9C">
        <w:t> </w:t>
      </w:r>
      <w:r w:rsidRPr="00EE3623">
        <w:t>S9.</w:t>
      </w:r>
    </w:p>
    <w:p w14:paraId="357DA945" w14:textId="7929EF26" w:rsidR="00E739AB" w:rsidRPr="00EE3623" w:rsidRDefault="00E739AB" w:rsidP="003D6234">
      <w:pPr>
        <w:pStyle w:val="TableHeading"/>
      </w:pPr>
      <w:r w:rsidRPr="00EE3623">
        <w:t>Table</w:t>
      </w:r>
      <w:r w:rsidR="005C7460">
        <w:t> </w:t>
      </w:r>
      <w:r w:rsidRPr="00EE3623">
        <w:t>S</w:t>
      </w:r>
      <w:r w:rsidR="000A66D0">
        <w:t>4</w:t>
      </w:r>
      <w:r w:rsidRPr="00EE3623">
        <w:t>: Top 10 Countries of birth by size of estimated female resident population aged 15</w:t>
      </w:r>
      <w:r w:rsidR="0071623D" w:rsidRPr="0071623D">
        <w:t>–</w:t>
      </w:r>
      <w:r w:rsidRPr="00EE3623">
        <w:t>49 in 2023, and projected TFR</w:t>
      </w:r>
    </w:p>
    <w:tbl>
      <w:tblPr>
        <w:tblW w:w="5000" w:type="pct"/>
        <w:tblLayout w:type="fixed"/>
        <w:tblCellMar>
          <w:left w:w="85" w:type="dxa"/>
          <w:right w:w="85" w:type="dxa"/>
        </w:tblCellMar>
        <w:tblLook w:val="04A0" w:firstRow="1" w:lastRow="0" w:firstColumn="1" w:lastColumn="0" w:noHBand="0" w:noVBand="1"/>
      </w:tblPr>
      <w:tblGrid>
        <w:gridCol w:w="687"/>
        <w:gridCol w:w="1546"/>
        <w:gridCol w:w="1145"/>
        <w:gridCol w:w="1259"/>
        <w:gridCol w:w="1575"/>
        <w:gridCol w:w="1431"/>
        <w:gridCol w:w="1145"/>
      </w:tblGrid>
      <w:tr w:rsidR="009B7E92" w:rsidRPr="003A5302" w14:paraId="7464096E" w14:textId="77777777" w:rsidTr="001D1E1C">
        <w:trPr>
          <w:trHeight w:hRule="exact" w:val="1292"/>
        </w:trPr>
        <w:tc>
          <w:tcPr>
            <w:tcW w:w="679" w:type="dxa"/>
            <w:tcBorders>
              <w:top w:val="single" w:sz="4" w:space="0" w:color="auto"/>
              <w:left w:val="nil"/>
              <w:bottom w:val="single" w:sz="4" w:space="0" w:color="auto"/>
              <w:right w:val="nil"/>
            </w:tcBorders>
            <w:noWrap/>
            <w:vAlign w:val="bottom"/>
            <w:hideMark/>
          </w:tcPr>
          <w:p w14:paraId="30D38D24" w14:textId="77777777" w:rsidR="00E739AB" w:rsidRPr="003A5302" w:rsidRDefault="00E739AB" w:rsidP="001D1E1C">
            <w:pPr>
              <w:pStyle w:val="TableHeading"/>
            </w:pPr>
            <w:r w:rsidRPr="003A5302">
              <w:t>Rank</w:t>
            </w:r>
          </w:p>
        </w:tc>
        <w:tc>
          <w:tcPr>
            <w:tcW w:w="1531" w:type="dxa"/>
            <w:tcBorders>
              <w:top w:val="single" w:sz="4" w:space="0" w:color="auto"/>
              <w:left w:val="nil"/>
              <w:bottom w:val="single" w:sz="4" w:space="0" w:color="auto"/>
              <w:right w:val="nil"/>
            </w:tcBorders>
            <w:noWrap/>
            <w:vAlign w:val="bottom"/>
            <w:hideMark/>
          </w:tcPr>
          <w:p w14:paraId="3EDA6616" w14:textId="219A9E0B" w:rsidR="00E739AB" w:rsidRPr="003A5302" w:rsidRDefault="00E739AB" w:rsidP="003A5302">
            <w:pPr>
              <w:pStyle w:val="TableHeading"/>
            </w:pPr>
            <w:r w:rsidRPr="003A5302">
              <w:t>Country of</w:t>
            </w:r>
            <w:r w:rsidR="002D09C3" w:rsidRPr="003A5302">
              <w:t> </w:t>
            </w:r>
            <w:r w:rsidRPr="003A5302">
              <w:t>birth</w:t>
            </w:r>
          </w:p>
        </w:tc>
        <w:tc>
          <w:tcPr>
            <w:tcW w:w="1134" w:type="dxa"/>
            <w:tcBorders>
              <w:top w:val="single" w:sz="4" w:space="0" w:color="auto"/>
              <w:left w:val="nil"/>
              <w:bottom w:val="single" w:sz="4" w:space="0" w:color="auto"/>
              <w:right w:val="nil"/>
            </w:tcBorders>
            <w:noWrap/>
            <w:vAlign w:val="bottom"/>
            <w:hideMark/>
          </w:tcPr>
          <w:p w14:paraId="5B8B22D2" w14:textId="42112544" w:rsidR="00E739AB" w:rsidRPr="003A5302" w:rsidRDefault="00E739AB" w:rsidP="003A5302">
            <w:pPr>
              <w:pStyle w:val="TableHeading"/>
              <w:jc w:val="center"/>
            </w:pPr>
            <w:r w:rsidRPr="003A5302">
              <w:t>2023 Births</w:t>
            </w:r>
          </w:p>
        </w:tc>
        <w:tc>
          <w:tcPr>
            <w:tcW w:w="1247" w:type="dxa"/>
            <w:tcBorders>
              <w:top w:val="single" w:sz="4" w:space="0" w:color="auto"/>
              <w:left w:val="nil"/>
              <w:bottom w:val="single" w:sz="4" w:space="0" w:color="auto"/>
              <w:right w:val="nil"/>
            </w:tcBorders>
            <w:vAlign w:val="bottom"/>
            <w:hideMark/>
          </w:tcPr>
          <w:p w14:paraId="03C3C169" w14:textId="4C4428BF" w:rsidR="00E739AB" w:rsidRPr="003A5302" w:rsidRDefault="00E739AB" w:rsidP="003A5302">
            <w:pPr>
              <w:pStyle w:val="TableHeading"/>
              <w:jc w:val="center"/>
            </w:pPr>
            <w:r w:rsidRPr="003A5302">
              <w:t>2023 Female ERP 15</w:t>
            </w:r>
            <w:r w:rsidR="0071623D" w:rsidRPr="003A5302">
              <w:t>–</w:t>
            </w:r>
            <w:r w:rsidR="00870E04" w:rsidRPr="003A5302">
              <w:rPr>
                <w:rFonts w:ascii="Times New Roman" w:hAnsi="Times New Roman" w:cs="Times New Roman"/>
              </w:rPr>
              <w:t>‍</w:t>
            </w:r>
            <w:r w:rsidRPr="003A5302">
              <w:t>49</w:t>
            </w:r>
          </w:p>
        </w:tc>
        <w:tc>
          <w:tcPr>
            <w:tcW w:w="1559" w:type="dxa"/>
            <w:tcBorders>
              <w:top w:val="single" w:sz="4" w:space="0" w:color="auto"/>
              <w:left w:val="nil"/>
              <w:bottom w:val="single" w:sz="4" w:space="0" w:color="auto"/>
              <w:right w:val="nil"/>
            </w:tcBorders>
            <w:vAlign w:val="bottom"/>
          </w:tcPr>
          <w:p w14:paraId="07DF9AEF" w14:textId="0B90F66A" w:rsidR="00E739AB" w:rsidRPr="003A5302" w:rsidRDefault="00E739AB" w:rsidP="003A5302">
            <w:pPr>
              <w:pStyle w:val="TableHeading"/>
              <w:jc w:val="center"/>
            </w:pPr>
            <w:r w:rsidRPr="003A5302">
              <w:t>2023 Female ERP 15</w:t>
            </w:r>
            <w:r w:rsidR="0071623D" w:rsidRPr="003A5302">
              <w:t>–</w:t>
            </w:r>
            <w:r w:rsidR="00870E04" w:rsidRPr="003A5302">
              <w:rPr>
                <w:rFonts w:ascii="Times New Roman" w:hAnsi="Times New Roman" w:cs="Times New Roman"/>
              </w:rPr>
              <w:t>‍</w:t>
            </w:r>
            <w:r w:rsidRPr="003A5302">
              <w:t xml:space="preserve">49 </w:t>
            </w:r>
            <w:r w:rsidR="003D6234" w:rsidRPr="003A5302">
              <w:br/>
            </w:r>
            <w:r w:rsidRPr="003A5302">
              <w:t>as % of total population</w:t>
            </w:r>
          </w:p>
        </w:tc>
        <w:tc>
          <w:tcPr>
            <w:tcW w:w="1417" w:type="dxa"/>
            <w:tcBorders>
              <w:top w:val="single" w:sz="4" w:space="0" w:color="auto"/>
              <w:left w:val="nil"/>
              <w:bottom w:val="single" w:sz="4" w:space="0" w:color="auto"/>
              <w:right w:val="nil"/>
            </w:tcBorders>
            <w:noWrap/>
            <w:vAlign w:val="bottom"/>
            <w:hideMark/>
          </w:tcPr>
          <w:p w14:paraId="284788BC" w14:textId="6DDBF576" w:rsidR="00E739AB" w:rsidRPr="003A5302" w:rsidRDefault="00E739AB" w:rsidP="003A5302">
            <w:pPr>
              <w:pStyle w:val="TableHeading"/>
              <w:jc w:val="center"/>
            </w:pPr>
            <w:r w:rsidRPr="003A5302">
              <w:t>TFR- Observed 2021</w:t>
            </w:r>
            <w:r w:rsidR="0071623D" w:rsidRPr="003A5302">
              <w:t>–</w:t>
            </w:r>
            <w:r w:rsidR="00870E04" w:rsidRPr="003A5302">
              <w:rPr>
                <w:rFonts w:ascii="Times New Roman" w:hAnsi="Times New Roman" w:cs="Times New Roman"/>
              </w:rPr>
              <w:t>‍</w:t>
            </w:r>
            <w:r w:rsidRPr="003A5302">
              <w:t>2023a</w:t>
            </w:r>
          </w:p>
        </w:tc>
        <w:tc>
          <w:tcPr>
            <w:tcW w:w="1134" w:type="dxa"/>
            <w:tcBorders>
              <w:top w:val="single" w:sz="4" w:space="0" w:color="auto"/>
              <w:left w:val="nil"/>
              <w:bottom w:val="single" w:sz="4" w:space="0" w:color="auto"/>
              <w:right w:val="nil"/>
            </w:tcBorders>
            <w:vAlign w:val="bottom"/>
          </w:tcPr>
          <w:p w14:paraId="5B5559D4" w14:textId="6F9064A7" w:rsidR="00E739AB" w:rsidRPr="003A5302" w:rsidRDefault="00E739AB" w:rsidP="003A5302">
            <w:pPr>
              <w:pStyle w:val="TableHeading"/>
              <w:jc w:val="center"/>
            </w:pPr>
            <w:r w:rsidRPr="003A5302">
              <w:t>TFR</w:t>
            </w:r>
            <w:r w:rsidRPr="003A5302">
              <w:br/>
              <w:t>Projected 2065</w:t>
            </w:r>
            <w:r w:rsidR="00870E04" w:rsidRPr="003A5302">
              <w:rPr>
                <w:rFonts w:ascii="Times New Roman" w:hAnsi="Times New Roman" w:cs="Times New Roman"/>
              </w:rPr>
              <w:t>‍</w:t>
            </w:r>
            <w:r w:rsidR="0071623D" w:rsidRPr="003A5302">
              <w:t>–</w:t>
            </w:r>
            <w:r w:rsidR="00870E04" w:rsidRPr="003A5302">
              <w:rPr>
                <w:rFonts w:ascii="Times New Roman" w:hAnsi="Times New Roman" w:cs="Times New Roman"/>
              </w:rPr>
              <w:t>‍</w:t>
            </w:r>
            <w:r w:rsidRPr="003A5302">
              <w:t>66</w:t>
            </w:r>
          </w:p>
        </w:tc>
      </w:tr>
      <w:tr w:rsidR="009B7E92" w:rsidRPr="00EE3623" w14:paraId="2176EF64" w14:textId="77777777" w:rsidTr="001D1E1C">
        <w:trPr>
          <w:trHeight w:val="454"/>
        </w:trPr>
        <w:tc>
          <w:tcPr>
            <w:tcW w:w="679" w:type="dxa"/>
            <w:tcBorders>
              <w:top w:val="nil"/>
              <w:left w:val="nil"/>
              <w:bottom w:val="nil"/>
              <w:right w:val="nil"/>
            </w:tcBorders>
            <w:noWrap/>
            <w:vAlign w:val="center"/>
            <w:hideMark/>
          </w:tcPr>
          <w:p w14:paraId="3CCAC4FC" w14:textId="77777777" w:rsidR="00E739AB" w:rsidRPr="00EE3623" w:rsidRDefault="00E739AB" w:rsidP="003D6234">
            <w:pPr>
              <w:pStyle w:val="TableText"/>
              <w:spacing w:before="0" w:after="0"/>
              <w:rPr>
                <w:sz w:val="20"/>
                <w:szCs w:val="20"/>
              </w:rPr>
            </w:pPr>
            <w:r w:rsidRPr="00EE3623">
              <w:rPr>
                <w:sz w:val="20"/>
                <w:szCs w:val="20"/>
              </w:rPr>
              <w:t>1</w:t>
            </w:r>
          </w:p>
        </w:tc>
        <w:tc>
          <w:tcPr>
            <w:tcW w:w="1531" w:type="dxa"/>
            <w:tcBorders>
              <w:top w:val="nil"/>
              <w:left w:val="nil"/>
              <w:bottom w:val="nil"/>
              <w:right w:val="nil"/>
            </w:tcBorders>
            <w:noWrap/>
            <w:vAlign w:val="center"/>
            <w:hideMark/>
          </w:tcPr>
          <w:p w14:paraId="49F3D37C" w14:textId="77777777" w:rsidR="00E739AB" w:rsidRPr="00EE3623" w:rsidRDefault="00E739AB" w:rsidP="008161F7">
            <w:pPr>
              <w:pStyle w:val="TableText"/>
              <w:spacing w:before="0" w:after="0"/>
              <w:rPr>
                <w:sz w:val="20"/>
                <w:szCs w:val="20"/>
              </w:rPr>
            </w:pPr>
            <w:r w:rsidRPr="00EE3623">
              <w:rPr>
                <w:sz w:val="20"/>
                <w:szCs w:val="20"/>
              </w:rPr>
              <w:t>India</w:t>
            </w:r>
          </w:p>
        </w:tc>
        <w:tc>
          <w:tcPr>
            <w:tcW w:w="1134" w:type="dxa"/>
            <w:tcBorders>
              <w:top w:val="nil"/>
              <w:left w:val="nil"/>
              <w:bottom w:val="nil"/>
              <w:right w:val="nil"/>
            </w:tcBorders>
            <w:noWrap/>
            <w:vAlign w:val="center"/>
            <w:hideMark/>
          </w:tcPr>
          <w:p w14:paraId="2A051104" w14:textId="77777777" w:rsidR="00E739AB" w:rsidRPr="00EE3623" w:rsidRDefault="00E739AB" w:rsidP="008161F7">
            <w:pPr>
              <w:pStyle w:val="TableText"/>
              <w:spacing w:before="0" w:after="0"/>
              <w:jc w:val="center"/>
              <w:rPr>
                <w:sz w:val="20"/>
                <w:szCs w:val="20"/>
              </w:rPr>
            </w:pPr>
            <w:r w:rsidRPr="00EE3623">
              <w:rPr>
                <w:sz w:val="20"/>
                <w:szCs w:val="20"/>
              </w:rPr>
              <w:t>16,593</w:t>
            </w:r>
          </w:p>
        </w:tc>
        <w:tc>
          <w:tcPr>
            <w:tcW w:w="1247" w:type="dxa"/>
            <w:tcBorders>
              <w:top w:val="nil"/>
              <w:left w:val="nil"/>
              <w:bottom w:val="nil"/>
              <w:right w:val="nil"/>
            </w:tcBorders>
            <w:noWrap/>
            <w:vAlign w:val="center"/>
            <w:hideMark/>
          </w:tcPr>
          <w:p w14:paraId="1F6A9F8C" w14:textId="77777777" w:rsidR="00E739AB" w:rsidRPr="00EE3623" w:rsidRDefault="00E739AB" w:rsidP="008161F7">
            <w:pPr>
              <w:pStyle w:val="TableText"/>
              <w:spacing w:before="0" w:after="0"/>
              <w:jc w:val="center"/>
              <w:rPr>
                <w:sz w:val="20"/>
                <w:szCs w:val="20"/>
              </w:rPr>
            </w:pPr>
            <w:r w:rsidRPr="00EE3623">
              <w:rPr>
                <w:sz w:val="20"/>
                <w:szCs w:val="20"/>
              </w:rPr>
              <w:t>300,348</w:t>
            </w:r>
          </w:p>
        </w:tc>
        <w:tc>
          <w:tcPr>
            <w:tcW w:w="1559" w:type="dxa"/>
            <w:tcBorders>
              <w:top w:val="nil"/>
              <w:left w:val="nil"/>
              <w:bottom w:val="nil"/>
              <w:right w:val="nil"/>
            </w:tcBorders>
            <w:vAlign w:val="center"/>
          </w:tcPr>
          <w:p w14:paraId="58777036" w14:textId="77777777" w:rsidR="00E739AB" w:rsidRPr="00EE3623" w:rsidRDefault="00E739AB" w:rsidP="008161F7">
            <w:pPr>
              <w:pStyle w:val="TableText"/>
              <w:spacing w:before="0" w:after="0"/>
              <w:jc w:val="center"/>
              <w:rPr>
                <w:sz w:val="20"/>
                <w:szCs w:val="20"/>
              </w:rPr>
            </w:pPr>
            <w:r w:rsidRPr="00EE3623">
              <w:rPr>
                <w:sz w:val="20"/>
                <w:szCs w:val="20"/>
              </w:rPr>
              <w:t>4.8</w:t>
            </w:r>
          </w:p>
        </w:tc>
        <w:tc>
          <w:tcPr>
            <w:tcW w:w="1417" w:type="dxa"/>
            <w:tcBorders>
              <w:top w:val="nil"/>
              <w:left w:val="nil"/>
              <w:bottom w:val="nil"/>
              <w:right w:val="nil"/>
            </w:tcBorders>
            <w:noWrap/>
            <w:vAlign w:val="center"/>
            <w:hideMark/>
          </w:tcPr>
          <w:p w14:paraId="7918A3DA" w14:textId="77777777" w:rsidR="00E739AB" w:rsidRPr="00EE3623" w:rsidRDefault="00E739AB" w:rsidP="008161F7">
            <w:pPr>
              <w:pStyle w:val="TableText"/>
              <w:spacing w:before="0" w:after="0"/>
              <w:jc w:val="center"/>
              <w:rPr>
                <w:sz w:val="20"/>
                <w:szCs w:val="20"/>
              </w:rPr>
            </w:pPr>
            <w:r w:rsidRPr="00EE3623">
              <w:rPr>
                <w:sz w:val="20"/>
                <w:szCs w:val="20"/>
              </w:rPr>
              <w:t>1.39</w:t>
            </w:r>
          </w:p>
        </w:tc>
        <w:tc>
          <w:tcPr>
            <w:tcW w:w="1134" w:type="dxa"/>
            <w:tcBorders>
              <w:top w:val="nil"/>
              <w:left w:val="nil"/>
              <w:bottom w:val="nil"/>
              <w:right w:val="nil"/>
            </w:tcBorders>
            <w:vAlign w:val="center"/>
          </w:tcPr>
          <w:p w14:paraId="4152D30A" w14:textId="77777777" w:rsidR="00E739AB" w:rsidRPr="00EE3623" w:rsidRDefault="00E739AB" w:rsidP="008161F7">
            <w:pPr>
              <w:pStyle w:val="TableText"/>
              <w:spacing w:before="0" w:after="0"/>
              <w:jc w:val="center"/>
              <w:rPr>
                <w:sz w:val="20"/>
                <w:szCs w:val="20"/>
              </w:rPr>
            </w:pPr>
            <w:r w:rsidRPr="00EE3623">
              <w:rPr>
                <w:sz w:val="20"/>
                <w:szCs w:val="20"/>
              </w:rPr>
              <w:t>1.32</w:t>
            </w:r>
          </w:p>
        </w:tc>
      </w:tr>
      <w:tr w:rsidR="009B7E92" w:rsidRPr="00EE3623" w14:paraId="522D4E6D" w14:textId="77777777" w:rsidTr="001D1E1C">
        <w:trPr>
          <w:trHeight w:val="454"/>
        </w:trPr>
        <w:tc>
          <w:tcPr>
            <w:tcW w:w="679" w:type="dxa"/>
            <w:tcBorders>
              <w:top w:val="nil"/>
              <w:left w:val="nil"/>
              <w:bottom w:val="nil"/>
              <w:right w:val="nil"/>
            </w:tcBorders>
            <w:noWrap/>
            <w:vAlign w:val="center"/>
            <w:hideMark/>
          </w:tcPr>
          <w:p w14:paraId="6ACA911D" w14:textId="77777777" w:rsidR="00E739AB" w:rsidRPr="00EE3623" w:rsidRDefault="00E739AB" w:rsidP="003D6234">
            <w:pPr>
              <w:pStyle w:val="TableText"/>
              <w:spacing w:before="0" w:after="0"/>
              <w:rPr>
                <w:sz w:val="20"/>
                <w:szCs w:val="20"/>
              </w:rPr>
            </w:pPr>
            <w:r w:rsidRPr="00EE3623">
              <w:rPr>
                <w:sz w:val="20"/>
                <w:szCs w:val="20"/>
              </w:rPr>
              <w:t>2</w:t>
            </w:r>
          </w:p>
        </w:tc>
        <w:tc>
          <w:tcPr>
            <w:tcW w:w="1531" w:type="dxa"/>
            <w:tcBorders>
              <w:top w:val="nil"/>
              <w:left w:val="nil"/>
              <w:bottom w:val="nil"/>
              <w:right w:val="nil"/>
            </w:tcBorders>
            <w:noWrap/>
            <w:vAlign w:val="center"/>
            <w:hideMark/>
          </w:tcPr>
          <w:p w14:paraId="782DF1CE" w14:textId="77777777" w:rsidR="00E739AB" w:rsidRPr="00EE3623" w:rsidRDefault="00E739AB" w:rsidP="008161F7">
            <w:pPr>
              <w:pStyle w:val="TableText"/>
              <w:spacing w:before="0" w:after="0"/>
              <w:rPr>
                <w:sz w:val="20"/>
                <w:szCs w:val="20"/>
              </w:rPr>
            </w:pPr>
            <w:r w:rsidRPr="00EE3623">
              <w:rPr>
                <w:sz w:val="20"/>
                <w:szCs w:val="20"/>
              </w:rPr>
              <w:t>China</w:t>
            </w:r>
          </w:p>
          <w:p w14:paraId="15A257CF" w14:textId="77777777" w:rsidR="00E739AB" w:rsidRPr="00EE3623" w:rsidRDefault="00E739AB" w:rsidP="008161F7">
            <w:pPr>
              <w:pStyle w:val="TableText"/>
              <w:spacing w:before="0" w:after="0"/>
              <w:rPr>
                <w:sz w:val="20"/>
                <w:szCs w:val="20"/>
              </w:rPr>
            </w:pPr>
            <w:r w:rsidRPr="00EE3623">
              <w:rPr>
                <w:sz w:val="20"/>
                <w:szCs w:val="20"/>
              </w:rPr>
              <w:t>(excludes SARs and Taiwan)</w:t>
            </w:r>
          </w:p>
        </w:tc>
        <w:tc>
          <w:tcPr>
            <w:tcW w:w="1134" w:type="dxa"/>
            <w:tcBorders>
              <w:top w:val="nil"/>
              <w:left w:val="nil"/>
              <w:bottom w:val="nil"/>
              <w:right w:val="nil"/>
            </w:tcBorders>
            <w:noWrap/>
            <w:vAlign w:val="center"/>
            <w:hideMark/>
          </w:tcPr>
          <w:p w14:paraId="100F704D" w14:textId="77777777" w:rsidR="00E739AB" w:rsidRPr="00EE3623" w:rsidRDefault="00E739AB" w:rsidP="008161F7">
            <w:pPr>
              <w:pStyle w:val="TableText"/>
              <w:spacing w:before="0" w:after="0"/>
              <w:jc w:val="center"/>
              <w:rPr>
                <w:sz w:val="20"/>
                <w:szCs w:val="20"/>
              </w:rPr>
            </w:pPr>
            <w:r w:rsidRPr="00EE3623">
              <w:rPr>
                <w:sz w:val="20"/>
                <w:szCs w:val="20"/>
              </w:rPr>
              <w:t>6,791</w:t>
            </w:r>
          </w:p>
        </w:tc>
        <w:tc>
          <w:tcPr>
            <w:tcW w:w="1247" w:type="dxa"/>
            <w:tcBorders>
              <w:top w:val="nil"/>
              <w:left w:val="nil"/>
              <w:bottom w:val="nil"/>
              <w:right w:val="nil"/>
            </w:tcBorders>
            <w:noWrap/>
            <w:vAlign w:val="center"/>
            <w:hideMark/>
          </w:tcPr>
          <w:p w14:paraId="3B53F41E" w14:textId="77777777" w:rsidR="00E739AB" w:rsidRPr="00EE3623" w:rsidRDefault="00E739AB" w:rsidP="008161F7">
            <w:pPr>
              <w:pStyle w:val="TableText"/>
              <w:spacing w:before="0" w:after="0"/>
              <w:jc w:val="center"/>
              <w:rPr>
                <w:sz w:val="20"/>
                <w:szCs w:val="20"/>
              </w:rPr>
            </w:pPr>
            <w:r w:rsidRPr="00EE3623">
              <w:rPr>
                <w:sz w:val="20"/>
                <w:szCs w:val="20"/>
              </w:rPr>
              <w:t>228,630</w:t>
            </w:r>
          </w:p>
        </w:tc>
        <w:tc>
          <w:tcPr>
            <w:tcW w:w="1559" w:type="dxa"/>
            <w:tcBorders>
              <w:top w:val="nil"/>
              <w:left w:val="nil"/>
              <w:bottom w:val="nil"/>
              <w:right w:val="nil"/>
            </w:tcBorders>
            <w:vAlign w:val="center"/>
          </w:tcPr>
          <w:p w14:paraId="1EC8FAF1" w14:textId="77777777" w:rsidR="00E739AB" w:rsidRPr="00EE3623" w:rsidRDefault="00E739AB" w:rsidP="008161F7">
            <w:pPr>
              <w:pStyle w:val="TableText"/>
              <w:spacing w:before="0" w:after="0"/>
              <w:jc w:val="center"/>
              <w:rPr>
                <w:sz w:val="20"/>
                <w:szCs w:val="20"/>
              </w:rPr>
            </w:pPr>
            <w:r w:rsidRPr="00EE3623">
              <w:rPr>
                <w:sz w:val="20"/>
                <w:szCs w:val="20"/>
              </w:rPr>
              <w:t>3.7</w:t>
            </w:r>
          </w:p>
        </w:tc>
        <w:tc>
          <w:tcPr>
            <w:tcW w:w="1417" w:type="dxa"/>
            <w:tcBorders>
              <w:top w:val="nil"/>
              <w:left w:val="nil"/>
              <w:bottom w:val="nil"/>
              <w:right w:val="nil"/>
            </w:tcBorders>
            <w:noWrap/>
            <w:vAlign w:val="center"/>
            <w:hideMark/>
          </w:tcPr>
          <w:p w14:paraId="1F4FB370" w14:textId="77777777" w:rsidR="00E739AB" w:rsidRPr="00EE3623" w:rsidRDefault="00E739AB" w:rsidP="008161F7">
            <w:pPr>
              <w:pStyle w:val="TableText"/>
              <w:spacing w:before="0" w:after="0"/>
              <w:jc w:val="center"/>
              <w:rPr>
                <w:sz w:val="20"/>
                <w:szCs w:val="20"/>
              </w:rPr>
            </w:pPr>
            <w:r w:rsidRPr="00EE3623">
              <w:rPr>
                <w:sz w:val="20"/>
                <w:szCs w:val="20"/>
              </w:rPr>
              <w:t>0.85</w:t>
            </w:r>
          </w:p>
        </w:tc>
        <w:tc>
          <w:tcPr>
            <w:tcW w:w="1134" w:type="dxa"/>
            <w:tcBorders>
              <w:top w:val="nil"/>
              <w:left w:val="nil"/>
              <w:bottom w:val="nil"/>
              <w:right w:val="nil"/>
            </w:tcBorders>
            <w:vAlign w:val="center"/>
          </w:tcPr>
          <w:p w14:paraId="4FA398E4" w14:textId="77777777" w:rsidR="00E739AB" w:rsidRPr="00EE3623" w:rsidRDefault="00E739AB" w:rsidP="008161F7">
            <w:pPr>
              <w:pStyle w:val="TableText"/>
              <w:spacing w:before="0" w:after="0"/>
              <w:jc w:val="center"/>
              <w:rPr>
                <w:sz w:val="20"/>
                <w:szCs w:val="20"/>
              </w:rPr>
            </w:pPr>
            <w:r w:rsidRPr="00EE3623">
              <w:rPr>
                <w:sz w:val="20"/>
                <w:szCs w:val="20"/>
              </w:rPr>
              <w:t>0.83</w:t>
            </w:r>
          </w:p>
        </w:tc>
      </w:tr>
      <w:tr w:rsidR="009B7E92" w:rsidRPr="00EE3623" w14:paraId="2A7A95A3" w14:textId="77777777" w:rsidTr="001D1E1C">
        <w:trPr>
          <w:trHeight w:val="454"/>
        </w:trPr>
        <w:tc>
          <w:tcPr>
            <w:tcW w:w="679" w:type="dxa"/>
            <w:tcBorders>
              <w:top w:val="nil"/>
              <w:left w:val="nil"/>
              <w:bottom w:val="nil"/>
              <w:right w:val="nil"/>
            </w:tcBorders>
            <w:noWrap/>
            <w:vAlign w:val="center"/>
            <w:hideMark/>
          </w:tcPr>
          <w:p w14:paraId="2F267F25" w14:textId="77777777" w:rsidR="00E739AB" w:rsidRPr="00EE3623" w:rsidRDefault="00E739AB" w:rsidP="003D6234">
            <w:pPr>
              <w:pStyle w:val="TableText"/>
              <w:spacing w:before="0" w:after="0"/>
              <w:rPr>
                <w:sz w:val="20"/>
                <w:szCs w:val="20"/>
              </w:rPr>
            </w:pPr>
            <w:r w:rsidRPr="00EE3623">
              <w:rPr>
                <w:sz w:val="20"/>
                <w:szCs w:val="20"/>
              </w:rPr>
              <w:t>3</w:t>
            </w:r>
          </w:p>
        </w:tc>
        <w:tc>
          <w:tcPr>
            <w:tcW w:w="1531" w:type="dxa"/>
            <w:tcBorders>
              <w:top w:val="nil"/>
              <w:left w:val="nil"/>
              <w:bottom w:val="nil"/>
              <w:right w:val="nil"/>
            </w:tcBorders>
            <w:noWrap/>
            <w:vAlign w:val="center"/>
            <w:hideMark/>
          </w:tcPr>
          <w:p w14:paraId="72E87638" w14:textId="77777777" w:rsidR="00E739AB" w:rsidRPr="00EE3623" w:rsidRDefault="00E739AB" w:rsidP="008161F7">
            <w:pPr>
              <w:pStyle w:val="TableText"/>
              <w:spacing w:before="0" w:after="0"/>
              <w:rPr>
                <w:sz w:val="20"/>
                <w:szCs w:val="20"/>
              </w:rPr>
            </w:pPr>
            <w:r w:rsidRPr="00EE3623">
              <w:rPr>
                <w:sz w:val="20"/>
                <w:szCs w:val="20"/>
              </w:rPr>
              <w:t>United Kingdom</w:t>
            </w:r>
          </w:p>
        </w:tc>
        <w:tc>
          <w:tcPr>
            <w:tcW w:w="1134" w:type="dxa"/>
            <w:tcBorders>
              <w:top w:val="nil"/>
              <w:left w:val="nil"/>
              <w:bottom w:val="nil"/>
              <w:right w:val="nil"/>
            </w:tcBorders>
            <w:noWrap/>
            <w:vAlign w:val="center"/>
            <w:hideMark/>
          </w:tcPr>
          <w:p w14:paraId="5B0C42FF" w14:textId="77777777" w:rsidR="00E739AB" w:rsidRPr="00EE3623" w:rsidRDefault="00E739AB" w:rsidP="008161F7">
            <w:pPr>
              <w:pStyle w:val="TableText"/>
              <w:spacing w:before="0" w:after="0"/>
              <w:jc w:val="center"/>
              <w:rPr>
                <w:sz w:val="20"/>
                <w:szCs w:val="20"/>
              </w:rPr>
            </w:pPr>
            <w:r w:rsidRPr="00EE3623">
              <w:rPr>
                <w:sz w:val="20"/>
                <w:szCs w:val="20"/>
              </w:rPr>
              <w:t>6,986</w:t>
            </w:r>
          </w:p>
        </w:tc>
        <w:tc>
          <w:tcPr>
            <w:tcW w:w="1247" w:type="dxa"/>
            <w:tcBorders>
              <w:top w:val="nil"/>
              <w:left w:val="nil"/>
              <w:bottom w:val="nil"/>
              <w:right w:val="nil"/>
            </w:tcBorders>
            <w:noWrap/>
            <w:vAlign w:val="center"/>
            <w:hideMark/>
          </w:tcPr>
          <w:p w14:paraId="007305D6" w14:textId="77777777" w:rsidR="00E739AB" w:rsidRPr="00EE3623" w:rsidRDefault="00E739AB" w:rsidP="008161F7">
            <w:pPr>
              <w:pStyle w:val="TableText"/>
              <w:spacing w:before="0" w:after="0"/>
              <w:jc w:val="center"/>
              <w:rPr>
                <w:sz w:val="20"/>
                <w:szCs w:val="20"/>
              </w:rPr>
            </w:pPr>
            <w:r w:rsidRPr="00EE3623">
              <w:rPr>
                <w:sz w:val="20"/>
                <w:szCs w:val="20"/>
              </w:rPr>
              <w:t>162,217</w:t>
            </w:r>
          </w:p>
        </w:tc>
        <w:tc>
          <w:tcPr>
            <w:tcW w:w="1559" w:type="dxa"/>
            <w:tcBorders>
              <w:top w:val="nil"/>
              <w:left w:val="nil"/>
              <w:bottom w:val="nil"/>
              <w:right w:val="nil"/>
            </w:tcBorders>
            <w:vAlign w:val="center"/>
          </w:tcPr>
          <w:p w14:paraId="57B38402" w14:textId="77777777" w:rsidR="00E739AB" w:rsidRPr="00EE3623" w:rsidRDefault="00E739AB" w:rsidP="008161F7">
            <w:pPr>
              <w:pStyle w:val="TableText"/>
              <w:spacing w:before="0" w:after="0"/>
              <w:jc w:val="center"/>
              <w:rPr>
                <w:sz w:val="20"/>
                <w:szCs w:val="20"/>
              </w:rPr>
            </w:pPr>
            <w:r w:rsidRPr="00EE3623">
              <w:rPr>
                <w:sz w:val="20"/>
                <w:szCs w:val="20"/>
              </w:rPr>
              <w:t>2.6</w:t>
            </w:r>
          </w:p>
        </w:tc>
        <w:tc>
          <w:tcPr>
            <w:tcW w:w="1417" w:type="dxa"/>
            <w:tcBorders>
              <w:top w:val="nil"/>
              <w:left w:val="nil"/>
              <w:bottom w:val="nil"/>
              <w:right w:val="nil"/>
            </w:tcBorders>
            <w:noWrap/>
            <w:vAlign w:val="center"/>
            <w:hideMark/>
          </w:tcPr>
          <w:p w14:paraId="1CDC3372" w14:textId="77777777" w:rsidR="00E739AB" w:rsidRPr="00EE3623" w:rsidRDefault="00E739AB" w:rsidP="008161F7">
            <w:pPr>
              <w:pStyle w:val="TableText"/>
              <w:spacing w:before="0" w:after="0"/>
              <w:jc w:val="center"/>
              <w:rPr>
                <w:sz w:val="20"/>
                <w:szCs w:val="20"/>
              </w:rPr>
            </w:pPr>
            <w:r w:rsidRPr="00EE3623">
              <w:rPr>
                <w:sz w:val="20"/>
                <w:szCs w:val="20"/>
              </w:rPr>
              <w:t>1.63</w:t>
            </w:r>
          </w:p>
        </w:tc>
        <w:tc>
          <w:tcPr>
            <w:tcW w:w="1134" w:type="dxa"/>
            <w:tcBorders>
              <w:top w:val="nil"/>
              <w:left w:val="nil"/>
              <w:bottom w:val="nil"/>
              <w:right w:val="nil"/>
            </w:tcBorders>
            <w:vAlign w:val="center"/>
          </w:tcPr>
          <w:p w14:paraId="46AE5EE0" w14:textId="77777777" w:rsidR="00E739AB" w:rsidRPr="00EE3623" w:rsidRDefault="00E739AB" w:rsidP="008161F7">
            <w:pPr>
              <w:pStyle w:val="TableText"/>
              <w:spacing w:before="0" w:after="0"/>
              <w:jc w:val="center"/>
              <w:rPr>
                <w:sz w:val="20"/>
                <w:szCs w:val="20"/>
              </w:rPr>
            </w:pPr>
            <w:r w:rsidRPr="00EE3623">
              <w:rPr>
                <w:sz w:val="20"/>
                <w:szCs w:val="20"/>
              </w:rPr>
              <w:t>1.56</w:t>
            </w:r>
          </w:p>
        </w:tc>
      </w:tr>
      <w:tr w:rsidR="009B7E92" w:rsidRPr="00EE3623" w14:paraId="49FEF48A" w14:textId="77777777" w:rsidTr="001D1E1C">
        <w:trPr>
          <w:trHeight w:val="454"/>
        </w:trPr>
        <w:tc>
          <w:tcPr>
            <w:tcW w:w="679" w:type="dxa"/>
            <w:tcBorders>
              <w:top w:val="nil"/>
              <w:left w:val="nil"/>
              <w:bottom w:val="nil"/>
              <w:right w:val="nil"/>
            </w:tcBorders>
            <w:noWrap/>
            <w:vAlign w:val="center"/>
            <w:hideMark/>
          </w:tcPr>
          <w:p w14:paraId="3BCB5506" w14:textId="77777777" w:rsidR="00E739AB" w:rsidRPr="00EE3623" w:rsidRDefault="00E739AB" w:rsidP="003D6234">
            <w:pPr>
              <w:pStyle w:val="TableText"/>
              <w:spacing w:before="0" w:after="0"/>
              <w:rPr>
                <w:sz w:val="20"/>
                <w:szCs w:val="20"/>
              </w:rPr>
            </w:pPr>
            <w:r w:rsidRPr="00EE3623">
              <w:rPr>
                <w:sz w:val="20"/>
                <w:szCs w:val="20"/>
              </w:rPr>
              <w:t>4</w:t>
            </w:r>
          </w:p>
        </w:tc>
        <w:tc>
          <w:tcPr>
            <w:tcW w:w="1531" w:type="dxa"/>
            <w:tcBorders>
              <w:top w:val="nil"/>
              <w:left w:val="nil"/>
              <w:bottom w:val="nil"/>
              <w:right w:val="nil"/>
            </w:tcBorders>
            <w:noWrap/>
            <w:vAlign w:val="center"/>
            <w:hideMark/>
          </w:tcPr>
          <w:p w14:paraId="0289939C" w14:textId="77777777" w:rsidR="00E739AB" w:rsidRPr="00EE3623" w:rsidRDefault="00E739AB" w:rsidP="008161F7">
            <w:pPr>
              <w:pStyle w:val="TableText"/>
              <w:spacing w:before="0" w:after="0"/>
              <w:rPr>
                <w:sz w:val="20"/>
                <w:szCs w:val="20"/>
              </w:rPr>
            </w:pPr>
            <w:r w:rsidRPr="00EE3623">
              <w:rPr>
                <w:sz w:val="20"/>
                <w:szCs w:val="20"/>
              </w:rPr>
              <w:t>New Zealand</w:t>
            </w:r>
          </w:p>
        </w:tc>
        <w:tc>
          <w:tcPr>
            <w:tcW w:w="1134" w:type="dxa"/>
            <w:tcBorders>
              <w:top w:val="nil"/>
              <w:left w:val="nil"/>
              <w:bottom w:val="nil"/>
              <w:right w:val="nil"/>
            </w:tcBorders>
            <w:noWrap/>
            <w:vAlign w:val="center"/>
            <w:hideMark/>
          </w:tcPr>
          <w:p w14:paraId="72F085A3" w14:textId="77777777" w:rsidR="00E739AB" w:rsidRPr="00EE3623" w:rsidRDefault="00E739AB" w:rsidP="008161F7">
            <w:pPr>
              <w:pStyle w:val="TableText"/>
              <w:spacing w:before="0" w:after="0"/>
              <w:jc w:val="center"/>
              <w:rPr>
                <w:sz w:val="20"/>
                <w:szCs w:val="20"/>
              </w:rPr>
            </w:pPr>
            <w:r w:rsidRPr="00EE3623">
              <w:rPr>
                <w:sz w:val="20"/>
                <w:szCs w:val="20"/>
              </w:rPr>
              <w:t>7,420</w:t>
            </w:r>
          </w:p>
        </w:tc>
        <w:tc>
          <w:tcPr>
            <w:tcW w:w="1247" w:type="dxa"/>
            <w:tcBorders>
              <w:top w:val="nil"/>
              <w:left w:val="nil"/>
              <w:bottom w:val="nil"/>
              <w:right w:val="nil"/>
            </w:tcBorders>
            <w:noWrap/>
            <w:vAlign w:val="center"/>
            <w:hideMark/>
          </w:tcPr>
          <w:p w14:paraId="1043A060" w14:textId="77777777" w:rsidR="00E739AB" w:rsidRPr="00EE3623" w:rsidRDefault="00E739AB" w:rsidP="008161F7">
            <w:pPr>
              <w:pStyle w:val="TableText"/>
              <w:spacing w:before="0" w:after="0"/>
              <w:jc w:val="center"/>
              <w:rPr>
                <w:sz w:val="20"/>
                <w:szCs w:val="20"/>
              </w:rPr>
            </w:pPr>
            <w:r w:rsidRPr="00EE3623">
              <w:rPr>
                <w:sz w:val="20"/>
                <w:szCs w:val="20"/>
              </w:rPr>
              <w:t>147,704</w:t>
            </w:r>
          </w:p>
        </w:tc>
        <w:tc>
          <w:tcPr>
            <w:tcW w:w="1559" w:type="dxa"/>
            <w:tcBorders>
              <w:top w:val="nil"/>
              <w:left w:val="nil"/>
              <w:bottom w:val="nil"/>
              <w:right w:val="nil"/>
            </w:tcBorders>
            <w:vAlign w:val="center"/>
          </w:tcPr>
          <w:p w14:paraId="0D6C4B7C" w14:textId="77777777" w:rsidR="00E739AB" w:rsidRPr="00EE3623" w:rsidRDefault="00E739AB" w:rsidP="008161F7">
            <w:pPr>
              <w:pStyle w:val="TableText"/>
              <w:spacing w:before="0" w:after="0"/>
              <w:jc w:val="center"/>
              <w:rPr>
                <w:sz w:val="20"/>
                <w:szCs w:val="20"/>
              </w:rPr>
            </w:pPr>
            <w:r w:rsidRPr="00EE3623">
              <w:rPr>
                <w:sz w:val="20"/>
                <w:szCs w:val="20"/>
              </w:rPr>
              <w:t>2.4</w:t>
            </w:r>
          </w:p>
        </w:tc>
        <w:tc>
          <w:tcPr>
            <w:tcW w:w="1417" w:type="dxa"/>
            <w:tcBorders>
              <w:top w:val="nil"/>
              <w:left w:val="nil"/>
              <w:bottom w:val="nil"/>
              <w:right w:val="nil"/>
            </w:tcBorders>
            <w:noWrap/>
            <w:vAlign w:val="center"/>
            <w:hideMark/>
          </w:tcPr>
          <w:p w14:paraId="0E9887E7" w14:textId="77777777" w:rsidR="00E739AB" w:rsidRPr="00EE3623" w:rsidRDefault="00E739AB" w:rsidP="008161F7">
            <w:pPr>
              <w:pStyle w:val="TableText"/>
              <w:spacing w:before="0" w:after="0"/>
              <w:jc w:val="center"/>
              <w:rPr>
                <w:sz w:val="20"/>
                <w:szCs w:val="20"/>
              </w:rPr>
            </w:pPr>
            <w:r w:rsidRPr="00EE3623">
              <w:rPr>
                <w:sz w:val="20"/>
                <w:szCs w:val="20"/>
              </w:rPr>
              <w:t>1.83</w:t>
            </w:r>
          </w:p>
        </w:tc>
        <w:tc>
          <w:tcPr>
            <w:tcW w:w="1134" w:type="dxa"/>
            <w:tcBorders>
              <w:top w:val="nil"/>
              <w:left w:val="nil"/>
              <w:bottom w:val="nil"/>
              <w:right w:val="nil"/>
            </w:tcBorders>
            <w:vAlign w:val="center"/>
          </w:tcPr>
          <w:p w14:paraId="0CA250B5" w14:textId="77777777" w:rsidR="00E739AB" w:rsidRPr="00EE3623" w:rsidRDefault="00E739AB" w:rsidP="008161F7">
            <w:pPr>
              <w:pStyle w:val="TableText"/>
              <w:spacing w:before="0" w:after="0"/>
              <w:jc w:val="center"/>
              <w:rPr>
                <w:sz w:val="20"/>
                <w:szCs w:val="20"/>
              </w:rPr>
            </w:pPr>
            <w:r w:rsidRPr="00EE3623">
              <w:rPr>
                <w:sz w:val="20"/>
                <w:szCs w:val="20"/>
              </w:rPr>
              <w:t>1.74</w:t>
            </w:r>
          </w:p>
        </w:tc>
      </w:tr>
      <w:tr w:rsidR="009B7E92" w:rsidRPr="00EE3623" w14:paraId="2E00703C" w14:textId="77777777" w:rsidTr="001D1E1C">
        <w:trPr>
          <w:trHeight w:val="454"/>
        </w:trPr>
        <w:tc>
          <w:tcPr>
            <w:tcW w:w="679" w:type="dxa"/>
            <w:tcBorders>
              <w:top w:val="nil"/>
              <w:left w:val="nil"/>
              <w:bottom w:val="nil"/>
              <w:right w:val="nil"/>
            </w:tcBorders>
            <w:noWrap/>
            <w:vAlign w:val="center"/>
            <w:hideMark/>
          </w:tcPr>
          <w:p w14:paraId="54F8223B" w14:textId="77777777" w:rsidR="00E739AB" w:rsidRPr="00EE3623" w:rsidRDefault="00E739AB" w:rsidP="003D6234">
            <w:pPr>
              <w:pStyle w:val="TableText"/>
              <w:spacing w:before="0" w:after="0"/>
              <w:rPr>
                <w:sz w:val="20"/>
                <w:szCs w:val="20"/>
              </w:rPr>
            </w:pPr>
            <w:r w:rsidRPr="00EE3623">
              <w:rPr>
                <w:sz w:val="20"/>
                <w:szCs w:val="20"/>
              </w:rPr>
              <w:t>5</w:t>
            </w:r>
          </w:p>
        </w:tc>
        <w:tc>
          <w:tcPr>
            <w:tcW w:w="1531" w:type="dxa"/>
            <w:tcBorders>
              <w:top w:val="nil"/>
              <w:left w:val="nil"/>
              <w:bottom w:val="nil"/>
              <w:right w:val="nil"/>
            </w:tcBorders>
            <w:noWrap/>
            <w:vAlign w:val="center"/>
            <w:hideMark/>
          </w:tcPr>
          <w:p w14:paraId="4E4611F1" w14:textId="77777777" w:rsidR="00E739AB" w:rsidRPr="00EE3623" w:rsidRDefault="00E739AB" w:rsidP="008161F7">
            <w:pPr>
              <w:pStyle w:val="TableText"/>
              <w:spacing w:before="0" w:after="0"/>
              <w:rPr>
                <w:sz w:val="20"/>
                <w:szCs w:val="20"/>
              </w:rPr>
            </w:pPr>
            <w:r w:rsidRPr="00EE3623">
              <w:rPr>
                <w:sz w:val="20"/>
                <w:szCs w:val="20"/>
              </w:rPr>
              <w:t>Philippines</w:t>
            </w:r>
          </w:p>
        </w:tc>
        <w:tc>
          <w:tcPr>
            <w:tcW w:w="1134" w:type="dxa"/>
            <w:tcBorders>
              <w:top w:val="nil"/>
              <w:left w:val="nil"/>
              <w:bottom w:val="nil"/>
              <w:right w:val="nil"/>
            </w:tcBorders>
            <w:noWrap/>
            <w:vAlign w:val="center"/>
            <w:hideMark/>
          </w:tcPr>
          <w:p w14:paraId="712B2297" w14:textId="77777777" w:rsidR="00E739AB" w:rsidRPr="00EE3623" w:rsidRDefault="00E739AB" w:rsidP="008161F7">
            <w:pPr>
              <w:pStyle w:val="TableText"/>
              <w:spacing w:before="0" w:after="0"/>
              <w:jc w:val="center"/>
              <w:rPr>
                <w:sz w:val="20"/>
                <w:szCs w:val="20"/>
              </w:rPr>
            </w:pPr>
            <w:r w:rsidRPr="00EE3623">
              <w:rPr>
                <w:sz w:val="20"/>
                <w:szCs w:val="20"/>
              </w:rPr>
              <w:t>5,158</w:t>
            </w:r>
          </w:p>
        </w:tc>
        <w:tc>
          <w:tcPr>
            <w:tcW w:w="1247" w:type="dxa"/>
            <w:tcBorders>
              <w:top w:val="nil"/>
              <w:left w:val="nil"/>
              <w:bottom w:val="nil"/>
              <w:right w:val="nil"/>
            </w:tcBorders>
            <w:noWrap/>
            <w:vAlign w:val="center"/>
            <w:hideMark/>
          </w:tcPr>
          <w:p w14:paraId="1EDAE51B" w14:textId="77777777" w:rsidR="00E739AB" w:rsidRPr="00EE3623" w:rsidRDefault="00E739AB" w:rsidP="008161F7">
            <w:pPr>
              <w:pStyle w:val="TableText"/>
              <w:spacing w:before="0" w:after="0"/>
              <w:jc w:val="center"/>
              <w:rPr>
                <w:sz w:val="20"/>
                <w:szCs w:val="20"/>
              </w:rPr>
            </w:pPr>
            <w:r w:rsidRPr="00EE3623">
              <w:rPr>
                <w:sz w:val="20"/>
                <w:szCs w:val="20"/>
              </w:rPr>
              <w:t>133,922</w:t>
            </w:r>
          </w:p>
        </w:tc>
        <w:tc>
          <w:tcPr>
            <w:tcW w:w="1559" w:type="dxa"/>
            <w:tcBorders>
              <w:top w:val="nil"/>
              <w:left w:val="nil"/>
              <w:bottom w:val="nil"/>
              <w:right w:val="nil"/>
            </w:tcBorders>
            <w:vAlign w:val="center"/>
          </w:tcPr>
          <w:p w14:paraId="4E94062A" w14:textId="77777777" w:rsidR="00E739AB" w:rsidRPr="00EE3623" w:rsidRDefault="00E739AB" w:rsidP="008161F7">
            <w:pPr>
              <w:pStyle w:val="TableText"/>
              <w:spacing w:before="0" w:after="0"/>
              <w:jc w:val="center"/>
              <w:rPr>
                <w:sz w:val="20"/>
                <w:szCs w:val="20"/>
              </w:rPr>
            </w:pPr>
            <w:r w:rsidRPr="00EE3623">
              <w:rPr>
                <w:sz w:val="20"/>
                <w:szCs w:val="20"/>
              </w:rPr>
              <w:t>2.1</w:t>
            </w:r>
          </w:p>
        </w:tc>
        <w:tc>
          <w:tcPr>
            <w:tcW w:w="1417" w:type="dxa"/>
            <w:tcBorders>
              <w:top w:val="nil"/>
              <w:left w:val="nil"/>
              <w:bottom w:val="nil"/>
              <w:right w:val="nil"/>
            </w:tcBorders>
            <w:noWrap/>
            <w:vAlign w:val="center"/>
            <w:hideMark/>
          </w:tcPr>
          <w:p w14:paraId="1FBD4C6E" w14:textId="77777777" w:rsidR="00E739AB" w:rsidRPr="00EE3623" w:rsidRDefault="00E739AB" w:rsidP="008161F7">
            <w:pPr>
              <w:pStyle w:val="TableText"/>
              <w:spacing w:before="0" w:after="0"/>
              <w:jc w:val="center"/>
              <w:rPr>
                <w:sz w:val="20"/>
                <w:szCs w:val="20"/>
              </w:rPr>
            </w:pPr>
            <w:r w:rsidRPr="00EE3623">
              <w:rPr>
                <w:sz w:val="20"/>
                <w:szCs w:val="20"/>
              </w:rPr>
              <w:t>1.10</w:t>
            </w:r>
          </w:p>
        </w:tc>
        <w:tc>
          <w:tcPr>
            <w:tcW w:w="1134" w:type="dxa"/>
            <w:tcBorders>
              <w:top w:val="nil"/>
              <w:left w:val="nil"/>
              <w:bottom w:val="nil"/>
              <w:right w:val="nil"/>
            </w:tcBorders>
            <w:vAlign w:val="center"/>
          </w:tcPr>
          <w:p w14:paraId="3C29E344" w14:textId="77777777" w:rsidR="00E739AB" w:rsidRPr="00EE3623" w:rsidRDefault="00E739AB" w:rsidP="008161F7">
            <w:pPr>
              <w:pStyle w:val="TableText"/>
              <w:spacing w:before="0" w:after="0"/>
              <w:jc w:val="center"/>
              <w:rPr>
                <w:sz w:val="20"/>
                <w:szCs w:val="20"/>
              </w:rPr>
            </w:pPr>
            <w:r w:rsidRPr="00EE3623">
              <w:rPr>
                <w:sz w:val="20"/>
                <w:szCs w:val="20"/>
              </w:rPr>
              <w:t>1.09</w:t>
            </w:r>
          </w:p>
        </w:tc>
      </w:tr>
      <w:tr w:rsidR="009B7E92" w:rsidRPr="00EE3623" w14:paraId="2C29298C" w14:textId="77777777" w:rsidTr="001D1E1C">
        <w:trPr>
          <w:trHeight w:val="454"/>
        </w:trPr>
        <w:tc>
          <w:tcPr>
            <w:tcW w:w="679" w:type="dxa"/>
            <w:tcBorders>
              <w:top w:val="nil"/>
              <w:left w:val="nil"/>
              <w:bottom w:val="nil"/>
              <w:right w:val="nil"/>
            </w:tcBorders>
            <w:noWrap/>
            <w:vAlign w:val="center"/>
            <w:hideMark/>
          </w:tcPr>
          <w:p w14:paraId="61DE810A" w14:textId="77777777" w:rsidR="00E739AB" w:rsidRPr="00EE3623" w:rsidRDefault="00E739AB" w:rsidP="003D6234">
            <w:pPr>
              <w:pStyle w:val="TableText"/>
              <w:spacing w:before="0" w:after="0"/>
              <w:rPr>
                <w:sz w:val="20"/>
                <w:szCs w:val="20"/>
              </w:rPr>
            </w:pPr>
            <w:r w:rsidRPr="00EE3623">
              <w:rPr>
                <w:sz w:val="20"/>
                <w:szCs w:val="20"/>
              </w:rPr>
              <w:t>6</w:t>
            </w:r>
          </w:p>
        </w:tc>
        <w:tc>
          <w:tcPr>
            <w:tcW w:w="1531" w:type="dxa"/>
            <w:tcBorders>
              <w:top w:val="nil"/>
              <w:left w:val="nil"/>
              <w:bottom w:val="nil"/>
              <w:right w:val="nil"/>
            </w:tcBorders>
            <w:noWrap/>
            <w:vAlign w:val="center"/>
            <w:hideMark/>
          </w:tcPr>
          <w:p w14:paraId="30095545" w14:textId="77777777" w:rsidR="00E739AB" w:rsidRPr="00EE3623" w:rsidRDefault="00E739AB" w:rsidP="008161F7">
            <w:pPr>
              <w:pStyle w:val="TableText"/>
              <w:spacing w:before="0" w:after="0"/>
              <w:rPr>
                <w:sz w:val="20"/>
                <w:szCs w:val="20"/>
              </w:rPr>
            </w:pPr>
            <w:r w:rsidRPr="00EE3623">
              <w:rPr>
                <w:sz w:val="20"/>
                <w:szCs w:val="20"/>
              </w:rPr>
              <w:t>Vietnam</w:t>
            </w:r>
          </w:p>
        </w:tc>
        <w:tc>
          <w:tcPr>
            <w:tcW w:w="1134" w:type="dxa"/>
            <w:tcBorders>
              <w:top w:val="nil"/>
              <w:left w:val="nil"/>
              <w:bottom w:val="nil"/>
              <w:right w:val="nil"/>
            </w:tcBorders>
            <w:noWrap/>
            <w:vAlign w:val="center"/>
            <w:hideMark/>
          </w:tcPr>
          <w:p w14:paraId="7118FC79" w14:textId="77777777" w:rsidR="00E739AB" w:rsidRPr="00EE3623" w:rsidRDefault="00E739AB" w:rsidP="008161F7">
            <w:pPr>
              <w:pStyle w:val="TableText"/>
              <w:spacing w:before="0" w:after="0"/>
              <w:jc w:val="center"/>
              <w:rPr>
                <w:sz w:val="20"/>
                <w:szCs w:val="20"/>
              </w:rPr>
            </w:pPr>
            <w:r w:rsidRPr="00EE3623">
              <w:rPr>
                <w:sz w:val="20"/>
                <w:szCs w:val="20"/>
              </w:rPr>
              <w:t>3,064</w:t>
            </w:r>
          </w:p>
        </w:tc>
        <w:tc>
          <w:tcPr>
            <w:tcW w:w="1247" w:type="dxa"/>
            <w:tcBorders>
              <w:top w:val="nil"/>
              <w:left w:val="nil"/>
              <w:bottom w:val="nil"/>
              <w:right w:val="nil"/>
            </w:tcBorders>
            <w:noWrap/>
            <w:vAlign w:val="center"/>
            <w:hideMark/>
          </w:tcPr>
          <w:p w14:paraId="669AA7F0" w14:textId="77777777" w:rsidR="00E739AB" w:rsidRPr="00EE3623" w:rsidRDefault="00E739AB" w:rsidP="008161F7">
            <w:pPr>
              <w:pStyle w:val="TableText"/>
              <w:spacing w:before="0" w:after="0"/>
              <w:jc w:val="center"/>
              <w:rPr>
                <w:sz w:val="20"/>
                <w:szCs w:val="20"/>
              </w:rPr>
            </w:pPr>
            <w:r w:rsidRPr="00EE3623">
              <w:rPr>
                <w:sz w:val="20"/>
                <w:szCs w:val="20"/>
              </w:rPr>
              <w:t>90,992</w:t>
            </w:r>
          </w:p>
        </w:tc>
        <w:tc>
          <w:tcPr>
            <w:tcW w:w="1559" w:type="dxa"/>
            <w:tcBorders>
              <w:top w:val="nil"/>
              <w:left w:val="nil"/>
              <w:bottom w:val="nil"/>
              <w:right w:val="nil"/>
            </w:tcBorders>
            <w:vAlign w:val="center"/>
          </w:tcPr>
          <w:p w14:paraId="5629974D" w14:textId="77777777" w:rsidR="00E739AB" w:rsidRPr="00EE3623" w:rsidRDefault="00E739AB" w:rsidP="008161F7">
            <w:pPr>
              <w:pStyle w:val="TableText"/>
              <w:spacing w:before="0" w:after="0"/>
              <w:jc w:val="center"/>
              <w:rPr>
                <w:sz w:val="20"/>
                <w:szCs w:val="20"/>
              </w:rPr>
            </w:pPr>
            <w:r w:rsidRPr="00EE3623">
              <w:rPr>
                <w:sz w:val="20"/>
                <w:szCs w:val="20"/>
              </w:rPr>
              <w:t>1.5</w:t>
            </w:r>
          </w:p>
        </w:tc>
        <w:tc>
          <w:tcPr>
            <w:tcW w:w="1417" w:type="dxa"/>
            <w:tcBorders>
              <w:top w:val="nil"/>
              <w:left w:val="nil"/>
              <w:bottom w:val="nil"/>
              <w:right w:val="nil"/>
            </w:tcBorders>
            <w:noWrap/>
            <w:vAlign w:val="center"/>
            <w:hideMark/>
          </w:tcPr>
          <w:p w14:paraId="149E3B25" w14:textId="77777777" w:rsidR="00E739AB" w:rsidRPr="00EE3623" w:rsidRDefault="00E739AB" w:rsidP="008161F7">
            <w:pPr>
              <w:pStyle w:val="TableText"/>
              <w:spacing w:before="0" w:after="0"/>
              <w:jc w:val="center"/>
              <w:rPr>
                <w:sz w:val="20"/>
                <w:szCs w:val="20"/>
              </w:rPr>
            </w:pPr>
            <w:r w:rsidRPr="00EE3623">
              <w:rPr>
                <w:sz w:val="20"/>
                <w:szCs w:val="20"/>
              </w:rPr>
              <w:t>1.23</w:t>
            </w:r>
          </w:p>
        </w:tc>
        <w:tc>
          <w:tcPr>
            <w:tcW w:w="1134" w:type="dxa"/>
            <w:tcBorders>
              <w:top w:val="nil"/>
              <w:left w:val="nil"/>
              <w:bottom w:val="nil"/>
              <w:right w:val="nil"/>
            </w:tcBorders>
            <w:vAlign w:val="center"/>
          </w:tcPr>
          <w:p w14:paraId="154FA993" w14:textId="77777777" w:rsidR="00E739AB" w:rsidRPr="00EE3623" w:rsidRDefault="00E739AB" w:rsidP="008161F7">
            <w:pPr>
              <w:pStyle w:val="TableText"/>
              <w:spacing w:before="0" w:after="0"/>
              <w:jc w:val="center"/>
              <w:rPr>
                <w:sz w:val="20"/>
                <w:szCs w:val="20"/>
              </w:rPr>
            </w:pPr>
            <w:r w:rsidRPr="00EE3623">
              <w:rPr>
                <w:sz w:val="20"/>
                <w:szCs w:val="20"/>
              </w:rPr>
              <w:t>1.18</w:t>
            </w:r>
          </w:p>
        </w:tc>
      </w:tr>
      <w:tr w:rsidR="009B7E92" w:rsidRPr="00EE3623" w14:paraId="01D674DA" w14:textId="77777777" w:rsidTr="001D1E1C">
        <w:trPr>
          <w:trHeight w:val="454"/>
        </w:trPr>
        <w:tc>
          <w:tcPr>
            <w:tcW w:w="679" w:type="dxa"/>
            <w:tcBorders>
              <w:top w:val="nil"/>
              <w:left w:val="nil"/>
              <w:bottom w:val="nil"/>
              <w:right w:val="nil"/>
            </w:tcBorders>
            <w:noWrap/>
            <w:vAlign w:val="center"/>
            <w:hideMark/>
          </w:tcPr>
          <w:p w14:paraId="422B9BBA" w14:textId="77777777" w:rsidR="00E739AB" w:rsidRPr="00EE3623" w:rsidRDefault="00E739AB" w:rsidP="003D6234">
            <w:pPr>
              <w:pStyle w:val="TableText"/>
              <w:spacing w:before="0" w:after="0"/>
              <w:rPr>
                <w:sz w:val="20"/>
                <w:szCs w:val="20"/>
              </w:rPr>
            </w:pPr>
            <w:r w:rsidRPr="00EE3623">
              <w:rPr>
                <w:sz w:val="20"/>
                <w:szCs w:val="20"/>
              </w:rPr>
              <w:t>7</w:t>
            </w:r>
          </w:p>
        </w:tc>
        <w:tc>
          <w:tcPr>
            <w:tcW w:w="1531" w:type="dxa"/>
            <w:tcBorders>
              <w:top w:val="nil"/>
              <w:left w:val="nil"/>
              <w:bottom w:val="nil"/>
              <w:right w:val="nil"/>
            </w:tcBorders>
            <w:noWrap/>
            <w:vAlign w:val="center"/>
            <w:hideMark/>
          </w:tcPr>
          <w:p w14:paraId="1E020D6F" w14:textId="77777777" w:rsidR="00E739AB" w:rsidRPr="00EE3623" w:rsidRDefault="00E739AB" w:rsidP="008161F7">
            <w:pPr>
              <w:pStyle w:val="TableText"/>
              <w:spacing w:before="0" w:after="0"/>
              <w:rPr>
                <w:sz w:val="20"/>
                <w:szCs w:val="20"/>
              </w:rPr>
            </w:pPr>
            <w:r w:rsidRPr="00EE3623">
              <w:rPr>
                <w:sz w:val="20"/>
                <w:szCs w:val="20"/>
              </w:rPr>
              <w:t>Nepal</w:t>
            </w:r>
          </w:p>
        </w:tc>
        <w:tc>
          <w:tcPr>
            <w:tcW w:w="1134" w:type="dxa"/>
            <w:tcBorders>
              <w:top w:val="nil"/>
              <w:left w:val="nil"/>
              <w:bottom w:val="nil"/>
              <w:right w:val="nil"/>
            </w:tcBorders>
            <w:noWrap/>
            <w:vAlign w:val="center"/>
            <w:hideMark/>
          </w:tcPr>
          <w:p w14:paraId="4FCA0D27" w14:textId="77777777" w:rsidR="00E739AB" w:rsidRPr="00EE3623" w:rsidRDefault="00E739AB" w:rsidP="008161F7">
            <w:pPr>
              <w:pStyle w:val="TableText"/>
              <w:spacing w:before="0" w:after="0"/>
              <w:jc w:val="center"/>
              <w:rPr>
                <w:sz w:val="20"/>
                <w:szCs w:val="20"/>
              </w:rPr>
            </w:pPr>
            <w:r w:rsidRPr="00EE3623">
              <w:rPr>
                <w:sz w:val="20"/>
                <w:szCs w:val="20"/>
              </w:rPr>
              <w:t>4,159</w:t>
            </w:r>
          </w:p>
        </w:tc>
        <w:tc>
          <w:tcPr>
            <w:tcW w:w="1247" w:type="dxa"/>
            <w:tcBorders>
              <w:top w:val="nil"/>
              <w:left w:val="nil"/>
              <w:bottom w:val="nil"/>
              <w:right w:val="nil"/>
            </w:tcBorders>
            <w:noWrap/>
            <w:vAlign w:val="center"/>
            <w:hideMark/>
          </w:tcPr>
          <w:p w14:paraId="156762FE" w14:textId="77777777" w:rsidR="00E739AB" w:rsidRPr="00EE3623" w:rsidRDefault="00E739AB" w:rsidP="008161F7">
            <w:pPr>
              <w:pStyle w:val="TableText"/>
              <w:spacing w:before="0" w:after="0"/>
              <w:jc w:val="center"/>
              <w:rPr>
                <w:sz w:val="20"/>
                <w:szCs w:val="20"/>
              </w:rPr>
            </w:pPr>
            <w:r w:rsidRPr="00EE3623">
              <w:rPr>
                <w:sz w:val="20"/>
                <w:szCs w:val="20"/>
              </w:rPr>
              <w:t>76,896</w:t>
            </w:r>
          </w:p>
        </w:tc>
        <w:tc>
          <w:tcPr>
            <w:tcW w:w="1559" w:type="dxa"/>
            <w:tcBorders>
              <w:top w:val="nil"/>
              <w:left w:val="nil"/>
              <w:bottom w:val="nil"/>
              <w:right w:val="nil"/>
            </w:tcBorders>
            <w:vAlign w:val="center"/>
          </w:tcPr>
          <w:p w14:paraId="3A4D6B3D" w14:textId="77777777" w:rsidR="00E739AB" w:rsidRPr="00EE3623" w:rsidRDefault="00E739AB" w:rsidP="008161F7">
            <w:pPr>
              <w:pStyle w:val="TableText"/>
              <w:spacing w:before="0" w:after="0"/>
              <w:jc w:val="center"/>
              <w:rPr>
                <w:sz w:val="20"/>
                <w:szCs w:val="20"/>
              </w:rPr>
            </w:pPr>
            <w:r w:rsidRPr="00EE3623">
              <w:rPr>
                <w:sz w:val="20"/>
                <w:szCs w:val="20"/>
              </w:rPr>
              <w:t>1.2</w:t>
            </w:r>
          </w:p>
        </w:tc>
        <w:tc>
          <w:tcPr>
            <w:tcW w:w="1417" w:type="dxa"/>
            <w:tcBorders>
              <w:top w:val="nil"/>
              <w:left w:val="nil"/>
              <w:bottom w:val="nil"/>
              <w:right w:val="nil"/>
            </w:tcBorders>
            <w:noWrap/>
            <w:vAlign w:val="center"/>
            <w:hideMark/>
          </w:tcPr>
          <w:p w14:paraId="4717C925" w14:textId="77777777" w:rsidR="00E739AB" w:rsidRPr="00EE3623" w:rsidRDefault="00E739AB" w:rsidP="008161F7">
            <w:pPr>
              <w:pStyle w:val="TableText"/>
              <w:spacing w:before="0" w:after="0"/>
              <w:jc w:val="center"/>
              <w:rPr>
                <w:sz w:val="20"/>
                <w:szCs w:val="20"/>
              </w:rPr>
            </w:pPr>
            <w:r w:rsidRPr="00EE3623">
              <w:rPr>
                <w:sz w:val="20"/>
                <w:szCs w:val="20"/>
              </w:rPr>
              <w:t>1.27</w:t>
            </w:r>
          </w:p>
        </w:tc>
        <w:tc>
          <w:tcPr>
            <w:tcW w:w="1134" w:type="dxa"/>
            <w:tcBorders>
              <w:top w:val="nil"/>
              <w:left w:val="nil"/>
              <w:bottom w:val="nil"/>
              <w:right w:val="nil"/>
            </w:tcBorders>
            <w:vAlign w:val="center"/>
          </w:tcPr>
          <w:p w14:paraId="768C5CF1" w14:textId="77777777" w:rsidR="00E739AB" w:rsidRPr="00EE3623" w:rsidRDefault="00E739AB" w:rsidP="008161F7">
            <w:pPr>
              <w:pStyle w:val="TableText"/>
              <w:spacing w:before="0" w:after="0"/>
              <w:jc w:val="center"/>
              <w:rPr>
                <w:sz w:val="20"/>
                <w:szCs w:val="20"/>
              </w:rPr>
            </w:pPr>
            <w:r w:rsidRPr="00EE3623">
              <w:rPr>
                <w:sz w:val="20"/>
                <w:szCs w:val="20"/>
              </w:rPr>
              <w:t>1.20</w:t>
            </w:r>
          </w:p>
        </w:tc>
      </w:tr>
      <w:tr w:rsidR="009B7E92" w:rsidRPr="00EE3623" w14:paraId="1441C395" w14:textId="77777777" w:rsidTr="001D1E1C">
        <w:trPr>
          <w:trHeight w:val="454"/>
        </w:trPr>
        <w:tc>
          <w:tcPr>
            <w:tcW w:w="679" w:type="dxa"/>
            <w:tcBorders>
              <w:top w:val="nil"/>
              <w:left w:val="nil"/>
              <w:bottom w:val="nil"/>
              <w:right w:val="nil"/>
            </w:tcBorders>
            <w:noWrap/>
            <w:vAlign w:val="center"/>
            <w:hideMark/>
          </w:tcPr>
          <w:p w14:paraId="1B4D86DF" w14:textId="77777777" w:rsidR="00E739AB" w:rsidRPr="00EE3623" w:rsidRDefault="00E739AB" w:rsidP="003D6234">
            <w:pPr>
              <w:pStyle w:val="TableText"/>
              <w:spacing w:before="0" w:after="0"/>
              <w:rPr>
                <w:sz w:val="20"/>
                <w:szCs w:val="20"/>
              </w:rPr>
            </w:pPr>
            <w:r w:rsidRPr="00EE3623">
              <w:rPr>
                <w:sz w:val="20"/>
                <w:szCs w:val="20"/>
              </w:rPr>
              <w:t>8</w:t>
            </w:r>
          </w:p>
        </w:tc>
        <w:tc>
          <w:tcPr>
            <w:tcW w:w="1531" w:type="dxa"/>
            <w:tcBorders>
              <w:top w:val="nil"/>
              <w:left w:val="nil"/>
              <w:bottom w:val="nil"/>
              <w:right w:val="nil"/>
            </w:tcBorders>
            <w:noWrap/>
            <w:vAlign w:val="center"/>
            <w:hideMark/>
          </w:tcPr>
          <w:p w14:paraId="083BCAEC" w14:textId="77777777" w:rsidR="00E739AB" w:rsidRPr="00EE3623" w:rsidRDefault="00E739AB" w:rsidP="008161F7">
            <w:pPr>
              <w:pStyle w:val="TableText"/>
              <w:spacing w:before="0" w:after="0"/>
              <w:rPr>
                <w:sz w:val="20"/>
                <w:szCs w:val="20"/>
              </w:rPr>
            </w:pPr>
            <w:r w:rsidRPr="00EE3623">
              <w:rPr>
                <w:sz w:val="20"/>
                <w:szCs w:val="20"/>
              </w:rPr>
              <w:t>Thailand</w:t>
            </w:r>
          </w:p>
        </w:tc>
        <w:tc>
          <w:tcPr>
            <w:tcW w:w="1134" w:type="dxa"/>
            <w:tcBorders>
              <w:top w:val="nil"/>
              <w:left w:val="nil"/>
              <w:bottom w:val="nil"/>
              <w:right w:val="nil"/>
            </w:tcBorders>
            <w:noWrap/>
            <w:vAlign w:val="center"/>
            <w:hideMark/>
          </w:tcPr>
          <w:p w14:paraId="78E462CC" w14:textId="77777777" w:rsidR="00E739AB" w:rsidRPr="00EE3623" w:rsidRDefault="00E739AB" w:rsidP="008161F7">
            <w:pPr>
              <w:pStyle w:val="TableText"/>
              <w:spacing w:before="0" w:after="0"/>
              <w:jc w:val="center"/>
              <w:rPr>
                <w:sz w:val="20"/>
                <w:szCs w:val="20"/>
              </w:rPr>
            </w:pPr>
            <w:r w:rsidRPr="00EE3623">
              <w:rPr>
                <w:sz w:val="20"/>
                <w:szCs w:val="20"/>
              </w:rPr>
              <w:t>1,368</w:t>
            </w:r>
          </w:p>
        </w:tc>
        <w:tc>
          <w:tcPr>
            <w:tcW w:w="1247" w:type="dxa"/>
            <w:tcBorders>
              <w:top w:val="nil"/>
              <w:left w:val="nil"/>
              <w:bottom w:val="nil"/>
              <w:right w:val="nil"/>
            </w:tcBorders>
            <w:noWrap/>
            <w:vAlign w:val="center"/>
            <w:hideMark/>
          </w:tcPr>
          <w:p w14:paraId="6CAF2C9C" w14:textId="77777777" w:rsidR="00E739AB" w:rsidRPr="00EE3623" w:rsidRDefault="00E739AB" w:rsidP="008161F7">
            <w:pPr>
              <w:pStyle w:val="TableText"/>
              <w:spacing w:before="0" w:after="0"/>
              <w:jc w:val="center"/>
              <w:rPr>
                <w:sz w:val="20"/>
                <w:szCs w:val="20"/>
              </w:rPr>
            </w:pPr>
            <w:r w:rsidRPr="00EE3623">
              <w:rPr>
                <w:sz w:val="20"/>
                <w:szCs w:val="20"/>
              </w:rPr>
              <w:t>58,277</w:t>
            </w:r>
          </w:p>
        </w:tc>
        <w:tc>
          <w:tcPr>
            <w:tcW w:w="1559" w:type="dxa"/>
            <w:tcBorders>
              <w:top w:val="nil"/>
              <w:left w:val="nil"/>
              <w:bottom w:val="nil"/>
              <w:right w:val="nil"/>
            </w:tcBorders>
            <w:vAlign w:val="center"/>
          </w:tcPr>
          <w:p w14:paraId="174F4A4B" w14:textId="77777777" w:rsidR="00E739AB" w:rsidRPr="00EE3623" w:rsidRDefault="00E739AB" w:rsidP="008161F7">
            <w:pPr>
              <w:pStyle w:val="TableText"/>
              <w:spacing w:before="0" w:after="0"/>
              <w:jc w:val="center"/>
              <w:rPr>
                <w:sz w:val="20"/>
                <w:szCs w:val="20"/>
              </w:rPr>
            </w:pPr>
            <w:r w:rsidRPr="00EE3623">
              <w:rPr>
                <w:sz w:val="20"/>
                <w:szCs w:val="20"/>
              </w:rPr>
              <w:t>0.9</w:t>
            </w:r>
          </w:p>
        </w:tc>
        <w:tc>
          <w:tcPr>
            <w:tcW w:w="1417" w:type="dxa"/>
            <w:tcBorders>
              <w:top w:val="nil"/>
              <w:left w:val="nil"/>
              <w:bottom w:val="nil"/>
              <w:right w:val="nil"/>
            </w:tcBorders>
            <w:noWrap/>
            <w:vAlign w:val="center"/>
            <w:hideMark/>
          </w:tcPr>
          <w:p w14:paraId="57E1EF32" w14:textId="77777777" w:rsidR="00E739AB" w:rsidRPr="00EE3623" w:rsidRDefault="00E739AB" w:rsidP="008161F7">
            <w:pPr>
              <w:pStyle w:val="TableText"/>
              <w:spacing w:before="0" w:after="0"/>
              <w:jc w:val="center"/>
              <w:rPr>
                <w:sz w:val="20"/>
                <w:szCs w:val="20"/>
              </w:rPr>
            </w:pPr>
            <w:r w:rsidRPr="00EE3623">
              <w:rPr>
                <w:sz w:val="20"/>
                <w:szCs w:val="20"/>
              </w:rPr>
              <w:t>0.78</w:t>
            </w:r>
          </w:p>
        </w:tc>
        <w:tc>
          <w:tcPr>
            <w:tcW w:w="1134" w:type="dxa"/>
            <w:tcBorders>
              <w:top w:val="nil"/>
              <w:left w:val="nil"/>
              <w:bottom w:val="nil"/>
              <w:right w:val="nil"/>
            </w:tcBorders>
            <w:vAlign w:val="center"/>
          </w:tcPr>
          <w:p w14:paraId="11A223BD" w14:textId="77777777" w:rsidR="00E739AB" w:rsidRPr="00EE3623" w:rsidRDefault="00E739AB" w:rsidP="008161F7">
            <w:pPr>
              <w:pStyle w:val="TableText"/>
              <w:spacing w:before="0" w:after="0"/>
              <w:jc w:val="center"/>
              <w:rPr>
                <w:sz w:val="20"/>
                <w:szCs w:val="20"/>
              </w:rPr>
            </w:pPr>
            <w:r w:rsidRPr="00EE3623">
              <w:rPr>
                <w:sz w:val="20"/>
                <w:szCs w:val="20"/>
              </w:rPr>
              <w:t>0.75</w:t>
            </w:r>
          </w:p>
        </w:tc>
      </w:tr>
      <w:tr w:rsidR="009B7E92" w:rsidRPr="00EE3623" w14:paraId="5058720C" w14:textId="77777777" w:rsidTr="001D1E1C">
        <w:trPr>
          <w:trHeight w:val="454"/>
        </w:trPr>
        <w:tc>
          <w:tcPr>
            <w:tcW w:w="679" w:type="dxa"/>
            <w:tcBorders>
              <w:top w:val="nil"/>
              <w:left w:val="nil"/>
              <w:bottom w:val="nil"/>
              <w:right w:val="nil"/>
            </w:tcBorders>
            <w:noWrap/>
            <w:vAlign w:val="center"/>
            <w:hideMark/>
          </w:tcPr>
          <w:p w14:paraId="39F8EE44" w14:textId="77777777" w:rsidR="00E739AB" w:rsidRPr="00EE3623" w:rsidRDefault="00E739AB" w:rsidP="003D6234">
            <w:pPr>
              <w:pStyle w:val="TableText"/>
              <w:spacing w:before="0" w:after="0"/>
              <w:rPr>
                <w:sz w:val="20"/>
                <w:szCs w:val="20"/>
              </w:rPr>
            </w:pPr>
            <w:r w:rsidRPr="00EE3623">
              <w:rPr>
                <w:sz w:val="20"/>
                <w:szCs w:val="20"/>
              </w:rPr>
              <w:t>9</w:t>
            </w:r>
          </w:p>
        </w:tc>
        <w:tc>
          <w:tcPr>
            <w:tcW w:w="1531" w:type="dxa"/>
            <w:tcBorders>
              <w:top w:val="nil"/>
              <w:left w:val="nil"/>
              <w:bottom w:val="nil"/>
              <w:right w:val="nil"/>
            </w:tcBorders>
            <w:noWrap/>
            <w:vAlign w:val="center"/>
            <w:hideMark/>
          </w:tcPr>
          <w:p w14:paraId="1DD976F4" w14:textId="77777777" w:rsidR="00E739AB" w:rsidRPr="00EE3623" w:rsidRDefault="00E739AB" w:rsidP="008161F7">
            <w:pPr>
              <w:pStyle w:val="TableText"/>
              <w:spacing w:before="0" w:after="0"/>
              <w:rPr>
                <w:sz w:val="20"/>
                <w:szCs w:val="20"/>
              </w:rPr>
            </w:pPr>
            <w:r w:rsidRPr="00EE3623">
              <w:rPr>
                <w:sz w:val="20"/>
                <w:szCs w:val="20"/>
              </w:rPr>
              <w:t>South Africa</w:t>
            </w:r>
          </w:p>
        </w:tc>
        <w:tc>
          <w:tcPr>
            <w:tcW w:w="1134" w:type="dxa"/>
            <w:tcBorders>
              <w:top w:val="nil"/>
              <w:left w:val="nil"/>
              <w:right w:val="nil"/>
            </w:tcBorders>
            <w:noWrap/>
            <w:vAlign w:val="center"/>
            <w:hideMark/>
          </w:tcPr>
          <w:p w14:paraId="3AB536B9" w14:textId="77777777" w:rsidR="00E739AB" w:rsidRPr="00EE3623" w:rsidRDefault="00E739AB" w:rsidP="008161F7">
            <w:pPr>
              <w:pStyle w:val="TableText"/>
              <w:spacing w:before="0" w:after="0"/>
              <w:jc w:val="center"/>
              <w:rPr>
                <w:sz w:val="20"/>
                <w:szCs w:val="20"/>
              </w:rPr>
            </w:pPr>
            <w:r w:rsidRPr="00EE3623">
              <w:rPr>
                <w:sz w:val="20"/>
                <w:szCs w:val="20"/>
              </w:rPr>
              <w:t>2,451</w:t>
            </w:r>
          </w:p>
        </w:tc>
        <w:tc>
          <w:tcPr>
            <w:tcW w:w="1247" w:type="dxa"/>
            <w:tcBorders>
              <w:top w:val="nil"/>
              <w:left w:val="nil"/>
              <w:right w:val="nil"/>
            </w:tcBorders>
            <w:noWrap/>
            <w:vAlign w:val="center"/>
            <w:hideMark/>
          </w:tcPr>
          <w:p w14:paraId="55012701" w14:textId="77777777" w:rsidR="00E739AB" w:rsidRPr="00EE3623" w:rsidRDefault="00E739AB" w:rsidP="008161F7">
            <w:pPr>
              <w:pStyle w:val="TableText"/>
              <w:spacing w:before="0" w:after="0"/>
              <w:jc w:val="center"/>
              <w:rPr>
                <w:sz w:val="20"/>
                <w:szCs w:val="20"/>
              </w:rPr>
            </w:pPr>
            <w:r w:rsidRPr="00EE3623">
              <w:rPr>
                <w:sz w:val="20"/>
                <w:szCs w:val="20"/>
              </w:rPr>
              <w:t>56,789</w:t>
            </w:r>
          </w:p>
        </w:tc>
        <w:tc>
          <w:tcPr>
            <w:tcW w:w="1559" w:type="dxa"/>
            <w:tcBorders>
              <w:top w:val="nil"/>
              <w:left w:val="nil"/>
              <w:right w:val="nil"/>
            </w:tcBorders>
            <w:vAlign w:val="center"/>
          </w:tcPr>
          <w:p w14:paraId="28423C5D" w14:textId="77777777" w:rsidR="00E739AB" w:rsidRPr="00EE3623" w:rsidRDefault="00E739AB" w:rsidP="008161F7">
            <w:pPr>
              <w:pStyle w:val="TableText"/>
              <w:spacing w:before="0" w:after="0"/>
              <w:jc w:val="center"/>
              <w:rPr>
                <w:sz w:val="20"/>
                <w:szCs w:val="20"/>
              </w:rPr>
            </w:pPr>
            <w:r w:rsidRPr="00EE3623">
              <w:rPr>
                <w:sz w:val="20"/>
                <w:szCs w:val="20"/>
              </w:rPr>
              <w:t>0.9</w:t>
            </w:r>
          </w:p>
        </w:tc>
        <w:tc>
          <w:tcPr>
            <w:tcW w:w="1417" w:type="dxa"/>
            <w:tcBorders>
              <w:top w:val="nil"/>
              <w:left w:val="nil"/>
              <w:right w:val="nil"/>
            </w:tcBorders>
            <w:noWrap/>
            <w:vAlign w:val="center"/>
            <w:hideMark/>
          </w:tcPr>
          <w:p w14:paraId="10127DF3" w14:textId="77777777" w:rsidR="00E739AB" w:rsidRPr="00EE3623" w:rsidRDefault="00E739AB" w:rsidP="008161F7">
            <w:pPr>
              <w:pStyle w:val="TableText"/>
              <w:spacing w:before="0" w:after="0"/>
              <w:jc w:val="center"/>
              <w:rPr>
                <w:sz w:val="20"/>
                <w:szCs w:val="20"/>
              </w:rPr>
            </w:pPr>
            <w:r w:rsidRPr="00EE3623">
              <w:rPr>
                <w:sz w:val="20"/>
                <w:szCs w:val="20"/>
              </w:rPr>
              <w:t>1.52</w:t>
            </w:r>
          </w:p>
        </w:tc>
        <w:tc>
          <w:tcPr>
            <w:tcW w:w="1134" w:type="dxa"/>
            <w:tcBorders>
              <w:top w:val="nil"/>
              <w:left w:val="nil"/>
              <w:right w:val="nil"/>
            </w:tcBorders>
            <w:vAlign w:val="center"/>
          </w:tcPr>
          <w:p w14:paraId="307695AA" w14:textId="77777777" w:rsidR="00E739AB" w:rsidRPr="00EE3623" w:rsidRDefault="00E739AB" w:rsidP="008161F7">
            <w:pPr>
              <w:pStyle w:val="TableText"/>
              <w:spacing w:before="0" w:after="0"/>
              <w:jc w:val="center"/>
              <w:rPr>
                <w:sz w:val="20"/>
                <w:szCs w:val="20"/>
              </w:rPr>
            </w:pPr>
            <w:r w:rsidRPr="00EE3623">
              <w:rPr>
                <w:sz w:val="20"/>
                <w:szCs w:val="20"/>
              </w:rPr>
              <w:t>1.45</w:t>
            </w:r>
          </w:p>
        </w:tc>
      </w:tr>
      <w:tr w:rsidR="009B7E92" w:rsidRPr="00EE3623" w14:paraId="344DEE6E" w14:textId="77777777" w:rsidTr="001D1E1C">
        <w:trPr>
          <w:trHeight w:val="454"/>
        </w:trPr>
        <w:tc>
          <w:tcPr>
            <w:tcW w:w="679" w:type="dxa"/>
            <w:tcBorders>
              <w:top w:val="nil"/>
              <w:left w:val="nil"/>
              <w:bottom w:val="single" w:sz="4" w:space="0" w:color="auto"/>
              <w:right w:val="nil"/>
            </w:tcBorders>
            <w:noWrap/>
            <w:vAlign w:val="center"/>
            <w:hideMark/>
          </w:tcPr>
          <w:p w14:paraId="6C1C27A6" w14:textId="77777777" w:rsidR="00E739AB" w:rsidRPr="00EE3623" w:rsidRDefault="00E739AB" w:rsidP="003D6234">
            <w:pPr>
              <w:pStyle w:val="TableText"/>
              <w:spacing w:before="0" w:after="0"/>
              <w:rPr>
                <w:sz w:val="20"/>
                <w:szCs w:val="20"/>
              </w:rPr>
            </w:pPr>
            <w:r w:rsidRPr="00EE3623">
              <w:rPr>
                <w:sz w:val="20"/>
                <w:szCs w:val="20"/>
              </w:rPr>
              <w:t>10</w:t>
            </w:r>
          </w:p>
        </w:tc>
        <w:tc>
          <w:tcPr>
            <w:tcW w:w="1531" w:type="dxa"/>
            <w:tcBorders>
              <w:top w:val="nil"/>
              <w:left w:val="nil"/>
              <w:bottom w:val="single" w:sz="4" w:space="0" w:color="auto"/>
              <w:right w:val="nil"/>
            </w:tcBorders>
            <w:noWrap/>
            <w:vAlign w:val="center"/>
            <w:hideMark/>
          </w:tcPr>
          <w:p w14:paraId="0F29FDB9" w14:textId="77777777" w:rsidR="00E739AB" w:rsidRPr="00EE3623" w:rsidRDefault="00E739AB" w:rsidP="008161F7">
            <w:pPr>
              <w:pStyle w:val="TableText"/>
              <w:spacing w:before="0" w:after="0"/>
              <w:rPr>
                <w:sz w:val="20"/>
                <w:szCs w:val="20"/>
              </w:rPr>
            </w:pPr>
            <w:r w:rsidRPr="00EE3623">
              <w:rPr>
                <w:sz w:val="20"/>
                <w:szCs w:val="20"/>
              </w:rPr>
              <w:t>Malaysia</w:t>
            </w:r>
          </w:p>
        </w:tc>
        <w:tc>
          <w:tcPr>
            <w:tcW w:w="1134" w:type="dxa"/>
            <w:tcBorders>
              <w:top w:val="nil"/>
              <w:left w:val="nil"/>
              <w:bottom w:val="single" w:sz="4" w:space="0" w:color="auto"/>
              <w:right w:val="nil"/>
            </w:tcBorders>
            <w:noWrap/>
            <w:vAlign w:val="center"/>
            <w:hideMark/>
          </w:tcPr>
          <w:p w14:paraId="58F763C5" w14:textId="77777777" w:rsidR="00E739AB" w:rsidRPr="00EE3623" w:rsidRDefault="00E739AB" w:rsidP="008161F7">
            <w:pPr>
              <w:pStyle w:val="TableText"/>
              <w:spacing w:before="0" w:after="0"/>
              <w:jc w:val="center"/>
              <w:rPr>
                <w:sz w:val="20"/>
                <w:szCs w:val="20"/>
              </w:rPr>
            </w:pPr>
            <w:r w:rsidRPr="00EE3623">
              <w:rPr>
                <w:sz w:val="20"/>
                <w:szCs w:val="20"/>
              </w:rPr>
              <w:t>1,902</w:t>
            </w:r>
          </w:p>
        </w:tc>
        <w:tc>
          <w:tcPr>
            <w:tcW w:w="1247" w:type="dxa"/>
            <w:tcBorders>
              <w:top w:val="nil"/>
              <w:left w:val="nil"/>
              <w:bottom w:val="single" w:sz="4" w:space="0" w:color="auto"/>
              <w:right w:val="nil"/>
            </w:tcBorders>
            <w:noWrap/>
            <w:vAlign w:val="center"/>
            <w:hideMark/>
          </w:tcPr>
          <w:p w14:paraId="25BB53EF" w14:textId="77777777" w:rsidR="00E739AB" w:rsidRPr="00EE3623" w:rsidRDefault="00E739AB" w:rsidP="008161F7">
            <w:pPr>
              <w:pStyle w:val="TableText"/>
              <w:spacing w:before="0" w:after="0"/>
              <w:jc w:val="center"/>
              <w:rPr>
                <w:sz w:val="20"/>
                <w:szCs w:val="20"/>
              </w:rPr>
            </w:pPr>
            <w:r w:rsidRPr="00EE3623">
              <w:rPr>
                <w:sz w:val="20"/>
                <w:szCs w:val="20"/>
              </w:rPr>
              <w:t>54,005</w:t>
            </w:r>
          </w:p>
        </w:tc>
        <w:tc>
          <w:tcPr>
            <w:tcW w:w="1559" w:type="dxa"/>
            <w:tcBorders>
              <w:top w:val="nil"/>
              <w:left w:val="nil"/>
              <w:bottom w:val="single" w:sz="4" w:space="0" w:color="auto"/>
              <w:right w:val="nil"/>
            </w:tcBorders>
            <w:vAlign w:val="center"/>
          </w:tcPr>
          <w:p w14:paraId="1E8FC9B9" w14:textId="77777777" w:rsidR="00E739AB" w:rsidRPr="00EE3623" w:rsidRDefault="00E739AB" w:rsidP="008161F7">
            <w:pPr>
              <w:pStyle w:val="TableText"/>
              <w:spacing w:before="0" w:after="0"/>
              <w:jc w:val="center"/>
              <w:rPr>
                <w:sz w:val="20"/>
                <w:szCs w:val="20"/>
              </w:rPr>
            </w:pPr>
            <w:r w:rsidRPr="00EE3623">
              <w:rPr>
                <w:sz w:val="20"/>
                <w:szCs w:val="20"/>
              </w:rPr>
              <w:t>0.9</w:t>
            </w:r>
          </w:p>
        </w:tc>
        <w:tc>
          <w:tcPr>
            <w:tcW w:w="1417" w:type="dxa"/>
            <w:tcBorders>
              <w:top w:val="nil"/>
              <w:left w:val="nil"/>
              <w:bottom w:val="single" w:sz="4" w:space="0" w:color="auto"/>
              <w:right w:val="nil"/>
            </w:tcBorders>
            <w:noWrap/>
            <w:vAlign w:val="center"/>
            <w:hideMark/>
          </w:tcPr>
          <w:p w14:paraId="0D3A8624" w14:textId="77777777" w:rsidR="00E739AB" w:rsidRPr="00EE3623" w:rsidRDefault="00E739AB" w:rsidP="008161F7">
            <w:pPr>
              <w:pStyle w:val="TableText"/>
              <w:spacing w:before="0" w:after="0"/>
              <w:jc w:val="center"/>
              <w:rPr>
                <w:sz w:val="20"/>
                <w:szCs w:val="20"/>
              </w:rPr>
            </w:pPr>
            <w:r w:rsidRPr="00EE3623">
              <w:rPr>
                <w:sz w:val="20"/>
                <w:szCs w:val="20"/>
              </w:rPr>
              <w:t>1.16</w:t>
            </w:r>
          </w:p>
        </w:tc>
        <w:tc>
          <w:tcPr>
            <w:tcW w:w="1134" w:type="dxa"/>
            <w:tcBorders>
              <w:top w:val="nil"/>
              <w:left w:val="nil"/>
              <w:bottom w:val="single" w:sz="4" w:space="0" w:color="auto"/>
              <w:right w:val="nil"/>
            </w:tcBorders>
            <w:vAlign w:val="center"/>
          </w:tcPr>
          <w:p w14:paraId="1938D4F1" w14:textId="77777777" w:rsidR="00E739AB" w:rsidRPr="00EE3623" w:rsidRDefault="00E739AB" w:rsidP="008161F7">
            <w:pPr>
              <w:pStyle w:val="TableText"/>
              <w:spacing w:before="0" w:after="0"/>
              <w:jc w:val="center"/>
              <w:rPr>
                <w:sz w:val="20"/>
                <w:szCs w:val="20"/>
              </w:rPr>
            </w:pPr>
            <w:r w:rsidRPr="00EE3623">
              <w:rPr>
                <w:sz w:val="20"/>
                <w:szCs w:val="20"/>
              </w:rPr>
              <w:t>1.15</w:t>
            </w:r>
          </w:p>
        </w:tc>
      </w:tr>
      <w:tr w:rsidR="009B7E92" w:rsidRPr="00EE3623" w14:paraId="341C1ADD" w14:textId="77777777" w:rsidTr="001D1E1C">
        <w:trPr>
          <w:trHeight w:hRule="exact" w:val="543"/>
        </w:trPr>
        <w:tc>
          <w:tcPr>
            <w:tcW w:w="679" w:type="dxa"/>
            <w:tcBorders>
              <w:top w:val="single" w:sz="4" w:space="0" w:color="auto"/>
              <w:left w:val="nil"/>
              <w:bottom w:val="nil"/>
              <w:right w:val="nil"/>
            </w:tcBorders>
            <w:noWrap/>
            <w:vAlign w:val="center"/>
            <w:hideMark/>
          </w:tcPr>
          <w:p w14:paraId="2CC0B360" w14:textId="538483CC" w:rsidR="00E739AB" w:rsidRPr="00EE3623" w:rsidRDefault="008161F7" w:rsidP="003D6234">
            <w:pPr>
              <w:pStyle w:val="TableText"/>
              <w:spacing w:before="0" w:after="0"/>
              <w:rPr>
                <w:sz w:val="20"/>
                <w:szCs w:val="20"/>
              </w:rPr>
            </w:pPr>
            <w:r>
              <w:rPr>
                <w:sz w:val="20"/>
                <w:szCs w:val="20"/>
              </w:rPr>
              <w:t>-</w:t>
            </w:r>
          </w:p>
        </w:tc>
        <w:tc>
          <w:tcPr>
            <w:tcW w:w="1531" w:type="dxa"/>
            <w:tcBorders>
              <w:top w:val="single" w:sz="4" w:space="0" w:color="auto"/>
              <w:left w:val="nil"/>
              <w:bottom w:val="nil"/>
              <w:right w:val="nil"/>
            </w:tcBorders>
            <w:noWrap/>
            <w:vAlign w:val="center"/>
            <w:hideMark/>
          </w:tcPr>
          <w:p w14:paraId="77AE334D" w14:textId="69CD423E" w:rsidR="00E739AB" w:rsidRPr="00EE3623" w:rsidRDefault="00E739AB" w:rsidP="008161F7">
            <w:pPr>
              <w:pStyle w:val="TableText"/>
              <w:spacing w:before="0" w:after="0"/>
              <w:rPr>
                <w:sz w:val="20"/>
                <w:szCs w:val="20"/>
              </w:rPr>
            </w:pPr>
            <w:r w:rsidRPr="00EE3623">
              <w:rPr>
                <w:sz w:val="20"/>
                <w:szCs w:val="20"/>
              </w:rPr>
              <w:t xml:space="preserve">Total </w:t>
            </w:r>
            <w:r w:rsidR="00031B96" w:rsidRPr="00EE3623">
              <w:rPr>
                <w:sz w:val="20"/>
                <w:szCs w:val="20"/>
              </w:rPr>
              <w:t>overseas born</w:t>
            </w:r>
          </w:p>
        </w:tc>
        <w:tc>
          <w:tcPr>
            <w:tcW w:w="1134" w:type="dxa"/>
            <w:tcBorders>
              <w:top w:val="single" w:sz="4" w:space="0" w:color="auto"/>
              <w:left w:val="nil"/>
              <w:right w:val="nil"/>
            </w:tcBorders>
            <w:noWrap/>
            <w:vAlign w:val="center"/>
            <w:hideMark/>
          </w:tcPr>
          <w:p w14:paraId="70F31179" w14:textId="77777777" w:rsidR="00E739AB" w:rsidRPr="00EE3623" w:rsidRDefault="00E739AB" w:rsidP="008161F7">
            <w:pPr>
              <w:pStyle w:val="TableText"/>
              <w:spacing w:before="0" w:after="0"/>
              <w:jc w:val="center"/>
              <w:rPr>
                <w:sz w:val="20"/>
                <w:szCs w:val="20"/>
              </w:rPr>
            </w:pPr>
            <w:r w:rsidRPr="00EE3623">
              <w:rPr>
                <w:sz w:val="20"/>
                <w:szCs w:val="20"/>
              </w:rPr>
              <w:t>100,011</w:t>
            </w:r>
          </w:p>
        </w:tc>
        <w:tc>
          <w:tcPr>
            <w:tcW w:w="1247" w:type="dxa"/>
            <w:tcBorders>
              <w:top w:val="single" w:sz="4" w:space="0" w:color="auto"/>
              <w:left w:val="nil"/>
              <w:right w:val="nil"/>
            </w:tcBorders>
            <w:noWrap/>
            <w:vAlign w:val="center"/>
            <w:hideMark/>
          </w:tcPr>
          <w:p w14:paraId="37F23C94" w14:textId="77777777" w:rsidR="00E739AB" w:rsidRPr="00EE3623" w:rsidRDefault="00E739AB" w:rsidP="008161F7">
            <w:pPr>
              <w:pStyle w:val="TableText"/>
              <w:spacing w:before="0" w:after="0"/>
              <w:jc w:val="center"/>
              <w:rPr>
                <w:sz w:val="20"/>
                <w:szCs w:val="20"/>
              </w:rPr>
            </w:pPr>
            <w:r w:rsidRPr="00EE3623">
              <w:rPr>
                <w:sz w:val="20"/>
                <w:szCs w:val="20"/>
              </w:rPr>
              <w:t>2,265,551</w:t>
            </w:r>
          </w:p>
        </w:tc>
        <w:tc>
          <w:tcPr>
            <w:tcW w:w="1559" w:type="dxa"/>
            <w:tcBorders>
              <w:top w:val="single" w:sz="4" w:space="0" w:color="auto"/>
              <w:left w:val="nil"/>
              <w:right w:val="nil"/>
            </w:tcBorders>
            <w:vAlign w:val="center"/>
          </w:tcPr>
          <w:p w14:paraId="630AC9B6" w14:textId="77777777" w:rsidR="00E739AB" w:rsidRPr="00EE3623" w:rsidRDefault="00E739AB" w:rsidP="008161F7">
            <w:pPr>
              <w:pStyle w:val="TableText"/>
              <w:spacing w:before="0" w:after="0"/>
              <w:jc w:val="center"/>
              <w:rPr>
                <w:sz w:val="20"/>
                <w:szCs w:val="20"/>
              </w:rPr>
            </w:pPr>
            <w:r w:rsidRPr="00EE3623">
              <w:rPr>
                <w:sz w:val="20"/>
                <w:szCs w:val="20"/>
              </w:rPr>
              <w:t>36.2</w:t>
            </w:r>
          </w:p>
        </w:tc>
        <w:tc>
          <w:tcPr>
            <w:tcW w:w="1417" w:type="dxa"/>
            <w:tcBorders>
              <w:top w:val="single" w:sz="4" w:space="0" w:color="auto"/>
              <w:left w:val="nil"/>
              <w:bottom w:val="nil"/>
              <w:right w:val="nil"/>
            </w:tcBorders>
            <w:noWrap/>
            <w:vAlign w:val="center"/>
            <w:hideMark/>
          </w:tcPr>
          <w:p w14:paraId="2FE9440E" w14:textId="77777777" w:rsidR="00E739AB" w:rsidRPr="00EE3623" w:rsidRDefault="00E739AB" w:rsidP="008161F7">
            <w:pPr>
              <w:pStyle w:val="TableText"/>
              <w:spacing w:before="0" w:after="0"/>
              <w:jc w:val="center"/>
              <w:rPr>
                <w:sz w:val="20"/>
                <w:szCs w:val="20"/>
              </w:rPr>
            </w:pPr>
            <w:r w:rsidRPr="00EE3623">
              <w:rPr>
                <w:sz w:val="20"/>
                <w:szCs w:val="20"/>
              </w:rPr>
              <w:t>1.34</w:t>
            </w:r>
          </w:p>
        </w:tc>
        <w:tc>
          <w:tcPr>
            <w:tcW w:w="1134" w:type="dxa"/>
            <w:tcBorders>
              <w:top w:val="single" w:sz="4" w:space="0" w:color="auto"/>
              <w:left w:val="nil"/>
              <w:bottom w:val="nil"/>
              <w:right w:val="nil"/>
            </w:tcBorders>
            <w:vAlign w:val="center"/>
          </w:tcPr>
          <w:p w14:paraId="22E48702" w14:textId="125B61C7" w:rsidR="00E739AB" w:rsidRPr="00EE3623" w:rsidRDefault="008161F7" w:rsidP="008161F7">
            <w:pPr>
              <w:pStyle w:val="TableText"/>
              <w:spacing w:before="0" w:after="0"/>
              <w:jc w:val="center"/>
              <w:rPr>
                <w:sz w:val="20"/>
                <w:szCs w:val="20"/>
              </w:rPr>
            </w:pPr>
            <w:r>
              <w:rPr>
                <w:sz w:val="20"/>
                <w:szCs w:val="20"/>
              </w:rPr>
              <w:t>-</w:t>
            </w:r>
          </w:p>
        </w:tc>
      </w:tr>
      <w:tr w:rsidR="009B7E92" w:rsidRPr="00EE3623" w14:paraId="6CB707EA" w14:textId="77777777" w:rsidTr="001D1E1C">
        <w:trPr>
          <w:trHeight w:val="340"/>
        </w:trPr>
        <w:tc>
          <w:tcPr>
            <w:tcW w:w="679" w:type="dxa"/>
            <w:tcBorders>
              <w:top w:val="nil"/>
              <w:left w:val="nil"/>
              <w:bottom w:val="nil"/>
              <w:right w:val="nil"/>
            </w:tcBorders>
            <w:noWrap/>
            <w:vAlign w:val="center"/>
            <w:hideMark/>
          </w:tcPr>
          <w:p w14:paraId="353F6089" w14:textId="1DC10EA4" w:rsidR="00E739AB" w:rsidRPr="00EE3623" w:rsidRDefault="008161F7" w:rsidP="003D6234">
            <w:pPr>
              <w:pStyle w:val="TableText"/>
              <w:spacing w:before="0" w:after="0"/>
              <w:rPr>
                <w:sz w:val="20"/>
                <w:szCs w:val="20"/>
              </w:rPr>
            </w:pPr>
            <w:r>
              <w:rPr>
                <w:sz w:val="20"/>
                <w:szCs w:val="20"/>
              </w:rPr>
              <w:t>-</w:t>
            </w:r>
          </w:p>
        </w:tc>
        <w:tc>
          <w:tcPr>
            <w:tcW w:w="1531" w:type="dxa"/>
            <w:tcBorders>
              <w:top w:val="nil"/>
              <w:left w:val="nil"/>
              <w:bottom w:val="nil"/>
              <w:right w:val="nil"/>
            </w:tcBorders>
            <w:noWrap/>
            <w:vAlign w:val="center"/>
            <w:hideMark/>
          </w:tcPr>
          <w:p w14:paraId="5B672FD9" w14:textId="77777777" w:rsidR="00E739AB" w:rsidRPr="00EE3623" w:rsidRDefault="00E739AB" w:rsidP="008161F7">
            <w:pPr>
              <w:pStyle w:val="TableText"/>
              <w:spacing w:before="0" w:after="0"/>
              <w:rPr>
                <w:sz w:val="20"/>
                <w:szCs w:val="20"/>
              </w:rPr>
            </w:pPr>
            <w:r w:rsidRPr="00EE3623">
              <w:rPr>
                <w:sz w:val="20"/>
                <w:szCs w:val="20"/>
              </w:rPr>
              <w:t>Australia</w:t>
            </w:r>
          </w:p>
        </w:tc>
        <w:tc>
          <w:tcPr>
            <w:tcW w:w="1134" w:type="dxa"/>
            <w:tcBorders>
              <w:left w:val="nil"/>
              <w:right w:val="nil"/>
            </w:tcBorders>
            <w:noWrap/>
            <w:vAlign w:val="center"/>
            <w:hideMark/>
          </w:tcPr>
          <w:p w14:paraId="20A38DFF" w14:textId="77777777" w:rsidR="00E739AB" w:rsidRPr="00EE3623" w:rsidRDefault="00E739AB" w:rsidP="008161F7">
            <w:pPr>
              <w:pStyle w:val="TableText"/>
              <w:spacing w:before="0" w:after="0"/>
              <w:jc w:val="center"/>
              <w:rPr>
                <w:sz w:val="20"/>
                <w:szCs w:val="20"/>
              </w:rPr>
            </w:pPr>
            <w:r w:rsidRPr="00EE3623">
              <w:rPr>
                <w:sz w:val="20"/>
                <w:szCs w:val="20"/>
              </w:rPr>
              <w:t>186,811</w:t>
            </w:r>
          </w:p>
        </w:tc>
        <w:tc>
          <w:tcPr>
            <w:tcW w:w="1247" w:type="dxa"/>
            <w:tcBorders>
              <w:left w:val="nil"/>
              <w:right w:val="nil"/>
            </w:tcBorders>
            <w:noWrap/>
            <w:vAlign w:val="center"/>
            <w:hideMark/>
          </w:tcPr>
          <w:p w14:paraId="3D8B3446" w14:textId="77777777" w:rsidR="00E739AB" w:rsidRPr="00EE3623" w:rsidRDefault="00E739AB" w:rsidP="008161F7">
            <w:pPr>
              <w:pStyle w:val="TableText"/>
              <w:spacing w:before="0" w:after="0"/>
              <w:jc w:val="center"/>
              <w:rPr>
                <w:sz w:val="20"/>
                <w:szCs w:val="20"/>
              </w:rPr>
            </w:pPr>
            <w:r w:rsidRPr="00EE3623">
              <w:rPr>
                <w:sz w:val="20"/>
                <w:szCs w:val="20"/>
              </w:rPr>
              <w:t>3,990,308</w:t>
            </w:r>
          </w:p>
        </w:tc>
        <w:tc>
          <w:tcPr>
            <w:tcW w:w="1559" w:type="dxa"/>
            <w:tcBorders>
              <w:left w:val="nil"/>
              <w:right w:val="nil"/>
            </w:tcBorders>
            <w:vAlign w:val="center"/>
          </w:tcPr>
          <w:p w14:paraId="20612398" w14:textId="77777777" w:rsidR="00E739AB" w:rsidRPr="00EE3623" w:rsidRDefault="00E739AB" w:rsidP="008161F7">
            <w:pPr>
              <w:pStyle w:val="TableText"/>
              <w:spacing w:before="0" w:after="0"/>
              <w:jc w:val="center"/>
              <w:rPr>
                <w:sz w:val="20"/>
                <w:szCs w:val="20"/>
              </w:rPr>
            </w:pPr>
            <w:r w:rsidRPr="00EE3623">
              <w:rPr>
                <w:sz w:val="20"/>
                <w:szCs w:val="20"/>
              </w:rPr>
              <w:t>63.8</w:t>
            </w:r>
          </w:p>
        </w:tc>
        <w:tc>
          <w:tcPr>
            <w:tcW w:w="1417" w:type="dxa"/>
            <w:tcBorders>
              <w:top w:val="nil"/>
              <w:left w:val="nil"/>
              <w:bottom w:val="nil"/>
              <w:right w:val="nil"/>
            </w:tcBorders>
            <w:noWrap/>
            <w:vAlign w:val="center"/>
            <w:hideMark/>
          </w:tcPr>
          <w:p w14:paraId="499F409B" w14:textId="77777777" w:rsidR="00E739AB" w:rsidRPr="00EE3623" w:rsidRDefault="00E739AB" w:rsidP="008161F7">
            <w:pPr>
              <w:pStyle w:val="TableText"/>
              <w:spacing w:before="0" w:after="0"/>
              <w:jc w:val="center"/>
              <w:rPr>
                <w:sz w:val="20"/>
                <w:szCs w:val="20"/>
              </w:rPr>
            </w:pPr>
            <w:r w:rsidRPr="00EE3623">
              <w:rPr>
                <w:sz w:val="20"/>
                <w:szCs w:val="20"/>
              </w:rPr>
              <w:t>1.69</w:t>
            </w:r>
          </w:p>
        </w:tc>
        <w:tc>
          <w:tcPr>
            <w:tcW w:w="1134" w:type="dxa"/>
            <w:tcBorders>
              <w:top w:val="nil"/>
              <w:left w:val="nil"/>
              <w:bottom w:val="nil"/>
              <w:right w:val="nil"/>
            </w:tcBorders>
            <w:vAlign w:val="center"/>
          </w:tcPr>
          <w:p w14:paraId="7D7E5199" w14:textId="56C2CB9C" w:rsidR="00E739AB" w:rsidRPr="00EE3623" w:rsidRDefault="008161F7" w:rsidP="008161F7">
            <w:pPr>
              <w:pStyle w:val="TableText"/>
              <w:spacing w:before="0" w:after="0"/>
              <w:jc w:val="center"/>
              <w:rPr>
                <w:sz w:val="20"/>
                <w:szCs w:val="20"/>
              </w:rPr>
            </w:pPr>
            <w:r>
              <w:rPr>
                <w:sz w:val="20"/>
                <w:szCs w:val="20"/>
              </w:rPr>
              <w:t>-</w:t>
            </w:r>
          </w:p>
        </w:tc>
      </w:tr>
      <w:tr w:rsidR="009B7E92" w:rsidRPr="00EE3623" w14:paraId="3FF24365" w14:textId="77777777" w:rsidTr="001D1E1C">
        <w:trPr>
          <w:trHeight w:hRule="exact" w:val="340"/>
        </w:trPr>
        <w:tc>
          <w:tcPr>
            <w:tcW w:w="679" w:type="dxa"/>
            <w:tcBorders>
              <w:top w:val="nil"/>
              <w:left w:val="nil"/>
              <w:bottom w:val="single" w:sz="4" w:space="0" w:color="auto"/>
              <w:right w:val="nil"/>
            </w:tcBorders>
            <w:noWrap/>
            <w:vAlign w:val="center"/>
          </w:tcPr>
          <w:p w14:paraId="03249C6E" w14:textId="6AD39EEB" w:rsidR="00E739AB" w:rsidRPr="00EE3623" w:rsidRDefault="008161F7" w:rsidP="003D6234">
            <w:pPr>
              <w:pStyle w:val="TableText"/>
              <w:spacing w:before="0" w:after="0"/>
              <w:rPr>
                <w:sz w:val="20"/>
                <w:szCs w:val="20"/>
              </w:rPr>
            </w:pPr>
            <w:r>
              <w:rPr>
                <w:sz w:val="20"/>
                <w:szCs w:val="20"/>
              </w:rPr>
              <w:t>-</w:t>
            </w:r>
          </w:p>
        </w:tc>
        <w:tc>
          <w:tcPr>
            <w:tcW w:w="1531" w:type="dxa"/>
            <w:tcBorders>
              <w:top w:val="nil"/>
              <w:left w:val="nil"/>
              <w:bottom w:val="single" w:sz="4" w:space="0" w:color="auto"/>
              <w:right w:val="nil"/>
            </w:tcBorders>
            <w:noWrap/>
            <w:vAlign w:val="center"/>
          </w:tcPr>
          <w:p w14:paraId="2E91E986" w14:textId="77777777" w:rsidR="00E739AB" w:rsidRPr="00EE3623" w:rsidRDefault="00E739AB" w:rsidP="008161F7">
            <w:pPr>
              <w:pStyle w:val="TableText"/>
              <w:spacing w:before="0" w:after="0"/>
              <w:rPr>
                <w:sz w:val="20"/>
                <w:szCs w:val="20"/>
              </w:rPr>
            </w:pPr>
            <w:r w:rsidRPr="00EE3623">
              <w:rPr>
                <w:sz w:val="20"/>
                <w:szCs w:val="20"/>
              </w:rPr>
              <w:t>Total</w:t>
            </w:r>
          </w:p>
        </w:tc>
        <w:tc>
          <w:tcPr>
            <w:tcW w:w="1134" w:type="dxa"/>
            <w:tcBorders>
              <w:left w:val="nil"/>
              <w:bottom w:val="single" w:sz="4" w:space="0" w:color="auto"/>
              <w:right w:val="nil"/>
            </w:tcBorders>
            <w:noWrap/>
            <w:vAlign w:val="center"/>
          </w:tcPr>
          <w:p w14:paraId="2EB8910D" w14:textId="77777777" w:rsidR="00E739AB" w:rsidRPr="00EE3623" w:rsidRDefault="00E739AB" w:rsidP="008161F7">
            <w:pPr>
              <w:pStyle w:val="TableText"/>
              <w:spacing w:before="0" w:after="0"/>
              <w:jc w:val="center"/>
              <w:rPr>
                <w:sz w:val="20"/>
                <w:szCs w:val="20"/>
              </w:rPr>
            </w:pPr>
            <w:r w:rsidRPr="00EE3623">
              <w:rPr>
                <w:sz w:val="20"/>
                <w:szCs w:val="20"/>
              </w:rPr>
              <w:t>286,998</w:t>
            </w:r>
          </w:p>
        </w:tc>
        <w:tc>
          <w:tcPr>
            <w:tcW w:w="1247" w:type="dxa"/>
            <w:tcBorders>
              <w:left w:val="nil"/>
              <w:bottom w:val="single" w:sz="4" w:space="0" w:color="auto"/>
              <w:right w:val="nil"/>
            </w:tcBorders>
            <w:noWrap/>
            <w:vAlign w:val="center"/>
          </w:tcPr>
          <w:p w14:paraId="79A16241" w14:textId="77777777" w:rsidR="00E739AB" w:rsidRPr="00EE3623" w:rsidRDefault="00E739AB" w:rsidP="008161F7">
            <w:pPr>
              <w:pStyle w:val="TableText"/>
              <w:spacing w:before="0" w:after="0"/>
              <w:jc w:val="center"/>
              <w:rPr>
                <w:sz w:val="20"/>
                <w:szCs w:val="20"/>
              </w:rPr>
            </w:pPr>
            <w:r w:rsidRPr="00EE3623">
              <w:rPr>
                <w:sz w:val="20"/>
                <w:szCs w:val="20"/>
              </w:rPr>
              <w:t>6,255,859</w:t>
            </w:r>
          </w:p>
        </w:tc>
        <w:tc>
          <w:tcPr>
            <w:tcW w:w="1559" w:type="dxa"/>
            <w:tcBorders>
              <w:left w:val="nil"/>
              <w:bottom w:val="single" w:sz="4" w:space="0" w:color="auto"/>
              <w:right w:val="nil"/>
            </w:tcBorders>
            <w:vAlign w:val="center"/>
          </w:tcPr>
          <w:p w14:paraId="3F436334" w14:textId="77777777" w:rsidR="00E739AB" w:rsidRPr="00EE3623" w:rsidRDefault="00E739AB" w:rsidP="008161F7">
            <w:pPr>
              <w:pStyle w:val="TableText"/>
              <w:spacing w:before="0" w:after="0"/>
              <w:jc w:val="center"/>
              <w:rPr>
                <w:sz w:val="20"/>
                <w:szCs w:val="20"/>
              </w:rPr>
            </w:pPr>
            <w:r w:rsidRPr="00EE3623">
              <w:rPr>
                <w:sz w:val="20"/>
                <w:szCs w:val="20"/>
              </w:rPr>
              <w:t>100</w:t>
            </w:r>
          </w:p>
        </w:tc>
        <w:tc>
          <w:tcPr>
            <w:tcW w:w="1417" w:type="dxa"/>
            <w:tcBorders>
              <w:top w:val="nil"/>
              <w:left w:val="nil"/>
              <w:bottom w:val="single" w:sz="4" w:space="0" w:color="auto"/>
              <w:right w:val="nil"/>
            </w:tcBorders>
            <w:noWrap/>
            <w:vAlign w:val="center"/>
          </w:tcPr>
          <w:p w14:paraId="1741AB05" w14:textId="77777777" w:rsidR="00E739AB" w:rsidRPr="00EE3623" w:rsidRDefault="00E739AB" w:rsidP="008161F7">
            <w:pPr>
              <w:pStyle w:val="TableText"/>
              <w:spacing w:before="0" w:after="0"/>
              <w:jc w:val="center"/>
              <w:rPr>
                <w:sz w:val="20"/>
                <w:szCs w:val="20"/>
              </w:rPr>
            </w:pPr>
            <w:r w:rsidRPr="00EE3623">
              <w:rPr>
                <w:sz w:val="20"/>
                <w:szCs w:val="20"/>
              </w:rPr>
              <w:t>1.57</w:t>
            </w:r>
          </w:p>
        </w:tc>
        <w:tc>
          <w:tcPr>
            <w:tcW w:w="1134" w:type="dxa"/>
            <w:tcBorders>
              <w:top w:val="nil"/>
              <w:left w:val="nil"/>
              <w:bottom w:val="single" w:sz="4" w:space="0" w:color="auto"/>
              <w:right w:val="nil"/>
            </w:tcBorders>
            <w:vAlign w:val="center"/>
          </w:tcPr>
          <w:p w14:paraId="4D4A8C39" w14:textId="0A0A01FB" w:rsidR="00E739AB" w:rsidRPr="00EE3623" w:rsidDel="00D964C5" w:rsidRDefault="008161F7" w:rsidP="008161F7">
            <w:pPr>
              <w:pStyle w:val="TableText"/>
              <w:spacing w:before="0" w:after="0"/>
              <w:jc w:val="center"/>
              <w:rPr>
                <w:sz w:val="20"/>
                <w:szCs w:val="20"/>
              </w:rPr>
            </w:pPr>
            <w:r>
              <w:rPr>
                <w:sz w:val="20"/>
                <w:szCs w:val="20"/>
              </w:rPr>
              <w:t>-</w:t>
            </w:r>
          </w:p>
        </w:tc>
      </w:tr>
    </w:tbl>
    <w:p w14:paraId="4C10479E" w14:textId="5E14EA81" w:rsidR="00E739AB" w:rsidRPr="00EE3623" w:rsidRDefault="00E739AB" w:rsidP="001A446B">
      <w:pPr>
        <w:pStyle w:val="Source"/>
      </w:pPr>
      <w:r w:rsidRPr="00EE3623">
        <w:t>Note: The TFR of 2021</w:t>
      </w:r>
      <w:r w:rsidR="0071623D" w:rsidRPr="0071623D">
        <w:t>–</w:t>
      </w:r>
      <w:r w:rsidRPr="00EE3623">
        <w:t xml:space="preserve">2023 are based on rates calculated for every year and then averaged. </w:t>
      </w:r>
    </w:p>
    <w:p w14:paraId="190DC60B" w14:textId="027336CB" w:rsidR="00E739AB" w:rsidRPr="00EE3623" w:rsidRDefault="00E739AB" w:rsidP="001A446B">
      <w:pPr>
        <w:pStyle w:val="Source"/>
        <w:rPr>
          <w:szCs w:val="20"/>
          <w:highlight w:val="yellow"/>
        </w:rPr>
      </w:pPr>
      <w:r w:rsidRPr="00EE3623">
        <w:t>Source: Australian Bureau of Statistics (2024a, Table 6)</w:t>
      </w:r>
      <w:r w:rsidR="00031B96" w:rsidRPr="00EE3623">
        <w:t>.</w:t>
      </w:r>
    </w:p>
    <w:p w14:paraId="0E7215E1" w14:textId="26AA9624" w:rsidR="004D0D3D" w:rsidRPr="002D09C3" w:rsidRDefault="004D0D3D" w:rsidP="002D09C3">
      <w:pPr>
        <w:keepNext/>
        <w:rPr>
          <w:rStyle w:val="Strong"/>
        </w:rPr>
      </w:pPr>
      <w:r w:rsidRPr="002D09C3">
        <w:rPr>
          <w:rStyle w:val="Strong"/>
        </w:rPr>
        <w:lastRenderedPageBreak/>
        <w:t>Figure S</w:t>
      </w:r>
      <w:r w:rsidR="004E5A6C" w:rsidRPr="002D09C3">
        <w:rPr>
          <w:rStyle w:val="Strong"/>
        </w:rPr>
        <w:fldChar w:fldCharType="begin"/>
      </w:r>
      <w:r w:rsidR="004E5A6C" w:rsidRPr="002D09C3">
        <w:rPr>
          <w:rStyle w:val="Strong"/>
        </w:rPr>
        <w:instrText xml:space="preserve"> SEQ Figure_S \* ARABIC </w:instrText>
      </w:r>
      <w:r w:rsidR="004E5A6C" w:rsidRPr="002D09C3">
        <w:rPr>
          <w:rStyle w:val="Strong"/>
        </w:rPr>
        <w:fldChar w:fldCharType="separate"/>
      </w:r>
      <w:r w:rsidR="004E5A6C" w:rsidRPr="002D09C3">
        <w:rPr>
          <w:rStyle w:val="Strong"/>
        </w:rPr>
        <w:t>9</w:t>
      </w:r>
      <w:r w:rsidR="004E5A6C" w:rsidRPr="002D09C3">
        <w:rPr>
          <w:rStyle w:val="Strong"/>
        </w:rPr>
        <w:fldChar w:fldCharType="end"/>
      </w:r>
      <w:r w:rsidRPr="002D09C3">
        <w:rPr>
          <w:rStyle w:val="Strong"/>
        </w:rPr>
        <w:t xml:space="preserve">: </w:t>
      </w:r>
      <w:r w:rsidR="00074596" w:rsidRPr="002D09C3">
        <w:rPr>
          <w:rStyle w:val="Strong"/>
        </w:rPr>
        <w:t>Historical (2003</w:t>
      </w:r>
      <w:r w:rsidR="0071623D" w:rsidRPr="002D09C3">
        <w:rPr>
          <w:rStyle w:val="Strong"/>
        </w:rPr>
        <w:t>–</w:t>
      </w:r>
      <w:r w:rsidR="00074596" w:rsidRPr="002D09C3">
        <w:rPr>
          <w:rStyle w:val="Strong"/>
        </w:rPr>
        <w:t xml:space="preserve">2023) and projected fertility rates by 5-year age group, </w:t>
      </w:r>
      <w:r w:rsidRPr="002D09C3">
        <w:rPr>
          <w:rStyle w:val="Strong"/>
        </w:rPr>
        <w:t xml:space="preserve">for women by top 10 countries of birth </w:t>
      </w:r>
    </w:p>
    <w:p w14:paraId="085DC5D5" w14:textId="60CB588A" w:rsidR="00B57DED" w:rsidRPr="00EE3623" w:rsidRDefault="00A3669E" w:rsidP="00332F74">
      <w:r w:rsidRPr="00EE3623">
        <w:rPr>
          <w:noProof/>
        </w:rPr>
        <w:drawing>
          <wp:inline distT="0" distB="0" distL="0" distR="0" wp14:anchorId="0D13E6D5" wp14:editId="56DDBC3C">
            <wp:extent cx="5580380" cy="7755255"/>
            <wp:effectExtent l="0" t="0" r="1270" b="0"/>
            <wp:docPr id="1295046657" name="Graphic 2" descr="historical (2003–2023) and projected (to 2065) age-specific fertility rates for women born in the top 10 overseas countries, with separate lines for each five-year age group. Across most countries, fertility peaks at ages 30–34, with projections showing generally stable or declining trends after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46657" name="Graphic 2" descr="historical (2003–2023) and projected (to 2065) age-specific fertility rates for women born in the top 10 overseas countries, with separate lines for each five-year age group. Across most countries, fertility peaks at ages 30–34, with projections showing generally stable or declining trends after 2023"/>
                    <pic:cNvPicPr/>
                  </pic:nvPicPr>
                  <pic:blipFill>
                    <a:blip r:embed="rId23">
                      <a:extLst>
                        <a:ext uri="{96DAC541-7B7A-43D3-8B79-37D633B846F1}">
                          <asvg:svgBlip xmlns:asvg="http://schemas.microsoft.com/office/drawing/2016/SVG/main" r:embed="rId24"/>
                        </a:ext>
                      </a:extLst>
                    </a:blip>
                    <a:stretch>
                      <a:fillRect/>
                    </a:stretch>
                  </pic:blipFill>
                  <pic:spPr>
                    <a:xfrm>
                      <a:off x="0" y="0"/>
                      <a:ext cx="5580380" cy="7755255"/>
                    </a:xfrm>
                    <a:prstGeom prst="rect">
                      <a:avLst/>
                    </a:prstGeom>
                  </pic:spPr>
                </pic:pic>
              </a:graphicData>
            </a:graphic>
          </wp:inline>
        </w:drawing>
      </w:r>
    </w:p>
    <w:p w14:paraId="60EA9619" w14:textId="68D8A79D" w:rsidR="00B57DED" w:rsidRPr="00EE3623" w:rsidRDefault="00B57DED" w:rsidP="001A446B">
      <w:pPr>
        <w:pStyle w:val="Source"/>
      </w:pPr>
      <w:r w:rsidRPr="00EE3623">
        <w:t xml:space="preserve">Note: </w:t>
      </w:r>
      <w:r w:rsidR="00074596" w:rsidRPr="00EE3623">
        <w:t xml:space="preserve">Top 10 </w:t>
      </w:r>
      <w:r w:rsidR="00407470" w:rsidRPr="00EE3623">
        <w:t>countries of birth a</w:t>
      </w:r>
      <w:r w:rsidR="00074596" w:rsidRPr="00EE3623">
        <w:t xml:space="preserve">s ranked by </w:t>
      </w:r>
      <w:r w:rsidR="00407470" w:rsidRPr="00EE3623">
        <w:t xml:space="preserve">the size of the </w:t>
      </w:r>
      <w:r w:rsidR="00074596" w:rsidRPr="00EE3623">
        <w:t xml:space="preserve">Estimated Resident </w:t>
      </w:r>
      <w:r w:rsidR="000C6E07" w:rsidRPr="00EE3623">
        <w:t>P</w:t>
      </w:r>
      <w:r w:rsidR="00074596" w:rsidRPr="00EE3623">
        <w:t>opulation of women aged 15</w:t>
      </w:r>
      <w:r w:rsidR="0071623D" w:rsidRPr="0071623D">
        <w:t>–</w:t>
      </w:r>
      <w:r w:rsidR="00074596" w:rsidRPr="00EE3623">
        <w:t>49 in 2023.</w:t>
      </w:r>
      <w:r w:rsidR="00407470" w:rsidRPr="00EE3623">
        <w:t xml:space="preserve"> </w:t>
      </w:r>
      <w:r w:rsidRPr="00EE3623">
        <w:t xml:space="preserve">There is no data for Nepal </w:t>
      </w:r>
      <w:r w:rsidR="00074596" w:rsidRPr="00EE3623">
        <w:t>prior to 2018.</w:t>
      </w:r>
    </w:p>
    <w:p w14:paraId="0F1D5529" w14:textId="77777777" w:rsidR="00B1119B" w:rsidRDefault="00B57DED" w:rsidP="001A446B">
      <w:pPr>
        <w:pStyle w:val="Source"/>
      </w:pPr>
      <w:r w:rsidRPr="00EE3623">
        <w:t xml:space="preserve">Source: </w:t>
      </w:r>
      <w:r w:rsidR="002D64B5" w:rsidRPr="00EE3623">
        <w:t>Data up to an</w:t>
      </w:r>
      <w:r w:rsidR="00535DA9" w:rsidRPr="00EE3623">
        <w:t xml:space="preserve">d </w:t>
      </w:r>
      <w:r w:rsidR="002D64B5" w:rsidRPr="00EE3623">
        <w:t>including 2023 from Australian Bureau of Statistics (2004, 2005, 2006, 2007, 2008b, 2009</w:t>
      </w:r>
      <w:r w:rsidR="002767C9" w:rsidRPr="00EE3623">
        <w:t xml:space="preserve">, </w:t>
      </w:r>
      <w:r w:rsidR="002D64B5" w:rsidRPr="00EE3623">
        <w:t>2010, 2011, 2012, 2013, 2014, 2015 ,2016, 2017, 2018, 2019, 2020, 2021b, 2023b, 2024a).</w:t>
      </w:r>
    </w:p>
    <w:p w14:paraId="61A0B9BD" w14:textId="28A9A4A0" w:rsidR="0024094C" w:rsidRPr="00B1119B" w:rsidRDefault="0024094C" w:rsidP="001A446B">
      <w:pPr>
        <w:pStyle w:val="Source"/>
      </w:pPr>
      <w:r w:rsidRPr="00EE3623">
        <w:br w:type="page"/>
      </w:r>
    </w:p>
    <w:p w14:paraId="1AD5A27B" w14:textId="3192A3C0" w:rsidR="00BF2FF5" w:rsidRPr="00EE3623" w:rsidRDefault="00BF2FF5" w:rsidP="00B1119B">
      <w:pPr>
        <w:pStyle w:val="Heading1"/>
      </w:pPr>
      <w:bookmarkStart w:id="8" w:name="_Toc238734063"/>
      <w:r w:rsidRPr="00EE3623">
        <w:lastRenderedPageBreak/>
        <w:t>References</w:t>
      </w:r>
      <w:bookmarkEnd w:id="8"/>
    </w:p>
    <w:p w14:paraId="27E448A6" w14:textId="515A08E5" w:rsidR="0029411B" w:rsidRPr="00EE3623" w:rsidRDefault="00625E0D" w:rsidP="00886086">
      <w:pPr>
        <w:rPr>
          <w:sz w:val="20"/>
          <w:szCs w:val="20"/>
        </w:rPr>
      </w:pPr>
      <w:r w:rsidRPr="00EE3623">
        <w:rPr>
          <w:sz w:val="20"/>
          <w:szCs w:val="20"/>
        </w:rPr>
        <w:t>Australian Bureau of Statistics (200</w:t>
      </w:r>
      <w:r w:rsidR="00D00085" w:rsidRPr="00EE3623">
        <w:rPr>
          <w:sz w:val="20"/>
          <w:szCs w:val="20"/>
        </w:rPr>
        <w:t>2</w:t>
      </w:r>
      <w:r w:rsidRPr="00EE3623">
        <w:rPr>
          <w:sz w:val="20"/>
          <w:szCs w:val="20"/>
        </w:rPr>
        <w:t>). Births Australia, 2001. Catalogue Number 3301.0</w:t>
      </w:r>
      <w:r w:rsidR="003F2459" w:rsidRPr="00EE3623">
        <w:rPr>
          <w:sz w:val="20"/>
          <w:szCs w:val="20"/>
        </w:rPr>
        <w:t xml:space="preserve"> </w:t>
      </w:r>
    </w:p>
    <w:p w14:paraId="5D220300" w14:textId="06142398" w:rsidR="002C5D28" w:rsidRPr="00EE3623" w:rsidRDefault="002C5D28" w:rsidP="00886086">
      <w:pPr>
        <w:rPr>
          <w:sz w:val="20"/>
          <w:szCs w:val="20"/>
        </w:rPr>
      </w:pPr>
      <w:r w:rsidRPr="00EE3623">
        <w:rPr>
          <w:sz w:val="20"/>
          <w:szCs w:val="20"/>
        </w:rPr>
        <w:t>Australian Bureau of Statistics (2004). Births Australia, 2003. Catalogue Number 3301.0</w:t>
      </w:r>
      <w:r w:rsidR="006A490D" w:rsidRPr="00EE3623">
        <w:rPr>
          <w:sz w:val="20"/>
          <w:szCs w:val="20"/>
        </w:rPr>
        <w:t xml:space="preserve"> </w:t>
      </w:r>
    </w:p>
    <w:p w14:paraId="79D768E5" w14:textId="4DA62EFF" w:rsidR="002C5D28" w:rsidRPr="00EE3623" w:rsidRDefault="002C5D28" w:rsidP="00886086">
      <w:pPr>
        <w:rPr>
          <w:sz w:val="20"/>
          <w:szCs w:val="20"/>
        </w:rPr>
      </w:pPr>
      <w:r w:rsidRPr="00EE3623">
        <w:rPr>
          <w:sz w:val="20"/>
          <w:szCs w:val="20"/>
        </w:rPr>
        <w:t>Australian Bureau of Statistics (2005). Births Australia, 2004. Catalogue Number 3301.0</w:t>
      </w:r>
      <w:r w:rsidR="006A490D" w:rsidRPr="00EE3623">
        <w:rPr>
          <w:sz w:val="20"/>
          <w:szCs w:val="20"/>
        </w:rPr>
        <w:t xml:space="preserve"> </w:t>
      </w:r>
    </w:p>
    <w:p w14:paraId="1B3C5167" w14:textId="7B65CFFD" w:rsidR="002C5D28" w:rsidRPr="00EE3623" w:rsidRDefault="002C5D28" w:rsidP="00886086">
      <w:pPr>
        <w:rPr>
          <w:sz w:val="20"/>
          <w:szCs w:val="20"/>
        </w:rPr>
      </w:pPr>
      <w:r w:rsidRPr="00EE3623">
        <w:rPr>
          <w:sz w:val="20"/>
          <w:szCs w:val="20"/>
        </w:rPr>
        <w:t>Australian Bureau of Statistics (2006). Births Australia, 2005. Catalogue Number 3301.0</w:t>
      </w:r>
      <w:r w:rsidR="006A490D" w:rsidRPr="00EE3623">
        <w:rPr>
          <w:sz w:val="20"/>
          <w:szCs w:val="20"/>
        </w:rPr>
        <w:t xml:space="preserve"> </w:t>
      </w:r>
    </w:p>
    <w:p w14:paraId="40915518" w14:textId="0BE91792" w:rsidR="002C5D28" w:rsidRPr="00EE3623" w:rsidRDefault="002C5D28" w:rsidP="00886086">
      <w:pPr>
        <w:rPr>
          <w:sz w:val="20"/>
          <w:szCs w:val="20"/>
        </w:rPr>
      </w:pPr>
      <w:r w:rsidRPr="00EE3623">
        <w:rPr>
          <w:sz w:val="20"/>
          <w:szCs w:val="20"/>
        </w:rPr>
        <w:t>Australian Bureau of Statistics (2007). Births Australia, 2006. Catalogue Number 3301.0</w:t>
      </w:r>
      <w:r w:rsidR="006A490D" w:rsidRPr="00EE3623">
        <w:rPr>
          <w:sz w:val="20"/>
          <w:szCs w:val="20"/>
        </w:rPr>
        <w:t xml:space="preserve"> </w:t>
      </w:r>
    </w:p>
    <w:p w14:paraId="6455798B" w14:textId="40A5ED06" w:rsidR="00AC1C2E" w:rsidRPr="00EE3623" w:rsidRDefault="00AC1C2E" w:rsidP="00886086">
      <w:pPr>
        <w:rPr>
          <w:rStyle w:val="hyperlinkChar"/>
          <w:sz w:val="20"/>
          <w:szCs w:val="20"/>
        </w:rPr>
      </w:pPr>
      <w:r w:rsidRPr="00EE3623">
        <w:rPr>
          <w:sz w:val="20"/>
          <w:szCs w:val="20"/>
        </w:rPr>
        <w:t xml:space="preserve">Australian Bureau of Statistics (2008a). Experimental Estimates of Aboriginal and/or Torres Strait Islander Australians Catalogue No. 3238.0.55.001, Jun 2006 </w:t>
      </w:r>
    </w:p>
    <w:p w14:paraId="0B435E09" w14:textId="33A6159B" w:rsidR="002C5D28" w:rsidRPr="00EE3623" w:rsidRDefault="002C5D28" w:rsidP="00886086">
      <w:pPr>
        <w:rPr>
          <w:sz w:val="20"/>
          <w:szCs w:val="20"/>
        </w:rPr>
      </w:pPr>
      <w:r w:rsidRPr="00EE3623">
        <w:rPr>
          <w:sz w:val="20"/>
          <w:szCs w:val="20"/>
        </w:rPr>
        <w:t>Australian Bureau of Statistics (2008</w:t>
      </w:r>
      <w:r w:rsidR="00767B7A" w:rsidRPr="00EE3623">
        <w:rPr>
          <w:sz w:val="20"/>
          <w:szCs w:val="20"/>
        </w:rPr>
        <w:t>b</w:t>
      </w:r>
      <w:r w:rsidRPr="00EE3623">
        <w:rPr>
          <w:sz w:val="20"/>
          <w:szCs w:val="20"/>
        </w:rPr>
        <w:t>). Births Australia, 2007. Catalogue Number 3301.0</w:t>
      </w:r>
      <w:r w:rsidR="006A490D" w:rsidRPr="00EE3623">
        <w:rPr>
          <w:sz w:val="20"/>
          <w:szCs w:val="20"/>
        </w:rPr>
        <w:t xml:space="preserve"> </w:t>
      </w:r>
    </w:p>
    <w:p w14:paraId="2819B12B" w14:textId="0597B00E" w:rsidR="002C5D28" w:rsidRPr="00EE3623" w:rsidRDefault="002C5D28" w:rsidP="00886086">
      <w:pPr>
        <w:rPr>
          <w:sz w:val="20"/>
          <w:szCs w:val="20"/>
        </w:rPr>
      </w:pPr>
      <w:r w:rsidRPr="00EE3623">
        <w:rPr>
          <w:sz w:val="20"/>
          <w:szCs w:val="20"/>
        </w:rPr>
        <w:t>Australian Bureau of Statistics (2009). Births Australia, 2008. Catalogue Number 3301.0</w:t>
      </w:r>
      <w:r w:rsidR="006A490D" w:rsidRPr="00EE3623">
        <w:rPr>
          <w:sz w:val="20"/>
          <w:szCs w:val="20"/>
        </w:rPr>
        <w:t xml:space="preserve"> </w:t>
      </w:r>
    </w:p>
    <w:p w14:paraId="1CBCB11A" w14:textId="2749CD46" w:rsidR="002C5D28" w:rsidRPr="00EE3623" w:rsidRDefault="002C5D28" w:rsidP="00886086">
      <w:pPr>
        <w:rPr>
          <w:sz w:val="20"/>
          <w:szCs w:val="20"/>
        </w:rPr>
      </w:pPr>
      <w:r w:rsidRPr="00EE3623">
        <w:rPr>
          <w:sz w:val="20"/>
          <w:szCs w:val="20"/>
        </w:rPr>
        <w:t>Australian Bureau of Statistics (2010). Births Australia, 2009. Catalogue Number 3301.0</w:t>
      </w:r>
      <w:r w:rsidR="006A490D" w:rsidRPr="00EE3623">
        <w:rPr>
          <w:sz w:val="20"/>
          <w:szCs w:val="20"/>
        </w:rPr>
        <w:t xml:space="preserve"> </w:t>
      </w:r>
    </w:p>
    <w:p w14:paraId="056DB218" w14:textId="5554B525" w:rsidR="002C5D28" w:rsidRPr="00EE3623" w:rsidRDefault="002C5D28" w:rsidP="00886086">
      <w:pPr>
        <w:rPr>
          <w:sz w:val="20"/>
          <w:szCs w:val="20"/>
        </w:rPr>
      </w:pPr>
      <w:r w:rsidRPr="00EE3623">
        <w:rPr>
          <w:sz w:val="20"/>
          <w:szCs w:val="20"/>
        </w:rPr>
        <w:t>Australian Bureau of Statistics (2011). Births Australia, 2010. Catalogue Number 3301.0</w:t>
      </w:r>
      <w:r w:rsidR="006A490D" w:rsidRPr="00EE3623">
        <w:rPr>
          <w:sz w:val="20"/>
          <w:szCs w:val="20"/>
        </w:rPr>
        <w:t xml:space="preserve"> </w:t>
      </w:r>
    </w:p>
    <w:p w14:paraId="51B25DB3" w14:textId="2DB6278E" w:rsidR="002C5D28" w:rsidRPr="00EE3623" w:rsidRDefault="002C5D28" w:rsidP="00886086">
      <w:pPr>
        <w:rPr>
          <w:sz w:val="20"/>
          <w:szCs w:val="20"/>
        </w:rPr>
      </w:pPr>
      <w:r w:rsidRPr="00EE3623">
        <w:rPr>
          <w:sz w:val="20"/>
          <w:szCs w:val="20"/>
        </w:rPr>
        <w:t>Australian Bureau of Statistics (2012). Births Australia, 2011. Catalogue Number 3301.0</w:t>
      </w:r>
      <w:r w:rsidR="006A490D" w:rsidRPr="00EE3623">
        <w:rPr>
          <w:sz w:val="20"/>
          <w:szCs w:val="20"/>
        </w:rPr>
        <w:t xml:space="preserve"> </w:t>
      </w:r>
    </w:p>
    <w:p w14:paraId="567418F1" w14:textId="401847A1" w:rsidR="002C5D28" w:rsidRPr="00EE3623" w:rsidRDefault="002C5D28" w:rsidP="00886086">
      <w:pPr>
        <w:rPr>
          <w:sz w:val="20"/>
          <w:szCs w:val="20"/>
        </w:rPr>
      </w:pPr>
      <w:r w:rsidRPr="00EE3623">
        <w:rPr>
          <w:sz w:val="20"/>
          <w:szCs w:val="20"/>
        </w:rPr>
        <w:t>Australian Bureau of Statistics (2013). Births Australia, 2012. Catalogue Number 3301.0</w:t>
      </w:r>
      <w:r w:rsidR="006A490D" w:rsidRPr="00EE3623">
        <w:rPr>
          <w:sz w:val="20"/>
          <w:szCs w:val="20"/>
        </w:rPr>
        <w:t xml:space="preserve"> </w:t>
      </w:r>
    </w:p>
    <w:p w14:paraId="3D1D472F" w14:textId="7E80CB8B" w:rsidR="002C5D28" w:rsidRPr="00EE3623" w:rsidRDefault="002C5D28" w:rsidP="00886086">
      <w:pPr>
        <w:rPr>
          <w:sz w:val="20"/>
          <w:szCs w:val="20"/>
        </w:rPr>
      </w:pPr>
      <w:r w:rsidRPr="00EE3623">
        <w:rPr>
          <w:sz w:val="20"/>
          <w:szCs w:val="20"/>
        </w:rPr>
        <w:t>Australian Bureau of Statistics (2014). Births Australia, 2013. Catalogue Number 3301.0</w:t>
      </w:r>
      <w:r w:rsidR="006A490D" w:rsidRPr="00EE3623">
        <w:rPr>
          <w:sz w:val="20"/>
          <w:szCs w:val="20"/>
        </w:rPr>
        <w:t xml:space="preserve"> </w:t>
      </w:r>
    </w:p>
    <w:p w14:paraId="56CCEC75" w14:textId="2E0D8E74" w:rsidR="002C5D28" w:rsidRPr="00EE3623" w:rsidRDefault="002C5D28" w:rsidP="00886086">
      <w:pPr>
        <w:rPr>
          <w:sz w:val="20"/>
          <w:szCs w:val="20"/>
        </w:rPr>
      </w:pPr>
      <w:r w:rsidRPr="00EE3623">
        <w:rPr>
          <w:sz w:val="20"/>
          <w:szCs w:val="20"/>
        </w:rPr>
        <w:t>Australian Bureau of Statistics (2015). Births Australia, 2014. Catalogue Number 3301.0</w:t>
      </w:r>
      <w:r w:rsidR="006A490D" w:rsidRPr="00EE3623">
        <w:rPr>
          <w:sz w:val="20"/>
          <w:szCs w:val="20"/>
        </w:rPr>
        <w:t xml:space="preserve"> </w:t>
      </w:r>
    </w:p>
    <w:p w14:paraId="481F7D37" w14:textId="591ED4D3" w:rsidR="002C5D28" w:rsidRPr="00EE3623" w:rsidRDefault="002C5D28" w:rsidP="00886086">
      <w:pPr>
        <w:rPr>
          <w:sz w:val="20"/>
          <w:szCs w:val="20"/>
        </w:rPr>
      </w:pPr>
      <w:r w:rsidRPr="00EE3623">
        <w:rPr>
          <w:sz w:val="20"/>
          <w:szCs w:val="20"/>
        </w:rPr>
        <w:t>Australian Bureau of Statistics (2016). Births Australia, 2015. Catalogue Number 3301.0</w:t>
      </w:r>
      <w:r w:rsidR="006A490D" w:rsidRPr="00EE3623">
        <w:rPr>
          <w:sz w:val="20"/>
          <w:szCs w:val="20"/>
        </w:rPr>
        <w:t xml:space="preserve"> </w:t>
      </w:r>
    </w:p>
    <w:p w14:paraId="3167784E" w14:textId="0ED796F2" w:rsidR="005465A6" w:rsidRPr="00EE3623" w:rsidRDefault="002C5D28" w:rsidP="00886086">
      <w:pPr>
        <w:rPr>
          <w:sz w:val="20"/>
          <w:szCs w:val="20"/>
        </w:rPr>
      </w:pPr>
      <w:r w:rsidRPr="00EE3623">
        <w:rPr>
          <w:sz w:val="20"/>
          <w:szCs w:val="20"/>
        </w:rPr>
        <w:t>Australian Bureau of Statistics (2017). Births Australia, 2016. Catalogue Number 3301.0</w:t>
      </w:r>
      <w:r w:rsidR="005465A6" w:rsidRPr="00EE3623">
        <w:rPr>
          <w:sz w:val="20"/>
          <w:szCs w:val="20"/>
        </w:rPr>
        <w:t xml:space="preserve"> </w:t>
      </w:r>
    </w:p>
    <w:p w14:paraId="3CBAB59E" w14:textId="7FC671CA" w:rsidR="005E7899" w:rsidRPr="00EE3623" w:rsidRDefault="00AB338B" w:rsidP="00886086">
      <w:pPr>
        <w:pStyle w:val="Hyperlink1"/>
        <w:spacing w:after="120"/>
        <w:ind w:left="0" w:firstLine="0"/>
        <w:rPr>
          <w:sz w:val="20"/>
          <w:szCs w:val="20"/>
        </w:rPr>
      </w:pPr>
      <w:r w:rsidRPr="00EE3623">
        <w:rPr>
          <w:color w:val="auto"/>
          <w:sz w:val="20"/>
          <w:szCs w:val="20"/>
        </w:rPr>
        <w:t>Australian Bureau of Statistics (2018). Births Australia, 2017. Catalogue Number 3301.0</w:t>
      </w:r>
      <w:r w:rsidR="005E7899" w:rsidRPr="00EE3623">
        <w:rPr>
          <w:sz w:val="20"/>
          <w:szCs w:val="20"/>
        </w:rPr>
        <w:t xml:space="preserve"> </w:t>
      </w:r>
    </w:p>
    <w:p w14:paraId="349BBAE3" w14:textId="7B085534" w:rsidR="0096533C" w:rsidRPr="00EE3623" w:rsidRDefault="0096533C" w:rsidP="00886086">
      <w:pPr>
        <w:pStyle w:val="Hyperlink1"/>
        <w:spacing w:after="120"/>
        <w:ind w:left="0" w:firstLine="0"/>
        <w:rPr>
          <w:rStyle w:val="hyperlinkChar"/>
          <w:sz w:val="20"/>
          <w:szCs w:val="20"/>
        </w:rPr>
      </w:pPr>
      <w:r w:rsidRPr="00EE3623">
        <w:rPr>
          <w:color w:val="auto"/>
          <w:sz w:val="20"/>
          <w:szCs w:val="20"/>
        </w:rPr>
        <w:t>Australian Bureau of Statistics (201</w:t>
      </w:r>
      <w:r w:rsidR="006C27EE" w:rsidRPr="00EE3623">
        <w:rPr>
          <w:color w:val="auto"/>
          <w:sz w:val="20"/>
          <w:szCs w:val="20"/>
        </w:rPr>
        <w:t>9</w:t>
      </w:r>
      <w:r w:rsidRPr="00EE3623">
        <w:rPr>
          <w:color w:val="auto"/>
          <w:sz w:val="20"/>
          <w:szCs w:val="20"/>
        </w:rPr>
        <w:t>). Births Australia, 201</w:t>
      </w:r>
      <w:r w:rsidR="006C27EE" w:rsidRPr="00EE3623">
        <w:rPr>
          <w:color w:val="auto"/>
          <w:sz w:val="20"/>
          <w:szCs w:val="20"/>
        </w:rPr>
        <w:t>8</w:t>
      </w:r>
      <w:r w:rsidRPr="00EE3623">
        <w:rPr>
          <w:color w:val="auto"/>
          <w:sz w:val="20"/>
          <w:szCs w:val="20"/>
        </w:rPr>
        <w:t>.</w:t>
      </w:r>
      <w:r w:rsidR="006C27EE" w:rsidRPr="00EE3623">
        <w:rPr>
          <w:sz w:val="20"/>
          <w:szCs w:val="20"/>
        </w:rPr>
        <w:t xml:space="preserve"> </w:t>
      </w:r>
    </w:p>
    <w:p w14:paraId="6DC9452D" w14:textId="09B9B1CB" w:rsidR="006C27EE" w:rsidRPr="00EE3623" w:rsidRDefault="006C27EE" w:rsidP="00886086">
      <w:pPr>
        <w:rPr>
          <w:sz w:val="20"/>
          <w:szCs w:val="20"/>
        </w:rPr>
      </w:pPr>
      <w:r w:rsidRPr="00EE3623">
        <w:rPr>
          <w:sz w:val="20"/>
          <w:szCs w:val="20"/>
        </w:rPr>
        <w:t xml:space="preserve">Australian Bureau of Statistics (2020). Births Australia, 2019. </w:t>
      </w:r>
    </w:p>
    <w:p w14:paraId="67237545" w14:textId="33E65CA3" w:rsidR="00805209" w:rsidRPr="00EE3623" w:rsidRDefault="00805209" w:rsidP="00886086">
      <w:pPr>
        <w:rPr>
          <w:sz w:val="20"/>
          <w:szCs w:val="20"/>
        </w:rPr>
      </w:pPr>
      <w:r w:rsidRPr="00EE3623">
        <w:rPr>
          <w:sz w:val="20"/>
          <w:szCs w:val="20"/>
        </w:rPr>
        <w:t>Australian Bureau of Statistics (2021</w:t>
      </w:r>
      <w:r w:rsidR="00421D74" w:rsidRPr="00EE3623">
        <w:rPr>
          <w:sz w:val="20"/>
          <w:szCs w:val="20"/>
        </w:rPr>
        <w:t>a</w:t>
      </w:r>
      <w:r w:rsidRPr="00EE3623">
        <w:rPr>
          <w:sz w:val="20"/>
          <w:szCs w:val="20"/>
        </w:rPr>
        <w:t xml:space="preserve">). Greater Capital City Statistical Areas, Australian Statistical Geography Standard (ASGS) Edition 3. </w:t>
      </w:r>
    </w:p>
    <w:p w14:paraId="0A11F2DF" w14:textId="277CB348" w:rsidR="006C27EE" w:rsidRPr="00EE3623" w:rsidRDefault="009C3C8A" w:rsidP="00886086">
      <w:pPr>
        <w:rPr>
          <w:sz w:val="20"/>
          <w:szCs w:val="20"/>
        </w:rPr>
      </w:pPr>
      <w:r w:rsidRPr="00EE3623">
        <w:rPr>
          <w:sz w:val="20"/>
          <w:szCs w:val="20"/>
        </w:rPr>
        <w:t xml:space="preserve">Australian Bureau of Statistics. (2021b). Estimates of Aboriginal </w:t>
      </w:r>
      <w:r w:rsidR="00F51DC1" w:rsidRPr="00EE3623">
        <w:rPr>
          <w:i/>
          <w:iCs/>
          <w:sz w:val="20"/>
          <w:szCs w:val="20"/>
        </w:rPr>
        <w:t>and/or Torres</w:t>
      </w:r>
      <w:r w:rsidRPr="00EE3623">
        <w:rPr>
          <w:sz w:val="20"/>
          <w:szCs w:val="20"/>
        </w:rPr>
        <w:t xml:space="preserve"> Strait Islander Australians.</w:t>
      </w:r>
      <w:r w:rsidRPr="00EE3623">
        <w:rPr>
          <w:rFonts w:cs="Open Sans"/>
          <w:color w:val="000000"/>
          <w:sz w:val="20"/>
          <w:szCs w:val="20"/>
        </w:rPr>
        <w:t xml:space="preserve"> </w:t>
      </w:r>
    </w:p>
    <w:p w14:paraId="6E5C66C2" w14:textId="75F6915E" w:rsidR="006C27EE" w:rsidRPr="00EE3623" w:rsidRDefault="006C27EE" w:rsidP="00886086">
      <w:pPr>
        <w:rPr>
          <w:rStyle w:val="hyperlinkChar"/>
          <w:sz w:val="20"/>
          <w:szCs w:val="20"/>
        </w:rPr>
      </w:pPr>
      <w:r w:rsidRPr="00EE3623">
        <w:rPr>
          <w:sz w:val="20"/>
          <w:szCs w:val="20"/>
        </w:rPr>
        <w:t xml:space="preserve">Australian Bureau of Statistics (2021b). Births Australia, 2020. </w:t>
      </w:r>
    </w:p>
    <w:p w14:paraId="31AE07E7" w14:textId="0E7BEA1D" w:rsidR="00761E4A" w:rsidRPr="00EE3623" w:rsidRDefault="00C47BB1" w:rsidP="00886086">
      <w:pPr>
        <w:rPr>
          <w:sz w:val="20"/>
          <w:szCs w:val="20"/>
        </w:rPr>
      </w:pPr>
      <w:r w:rsidRPr="00EE3623">
        <w:rPr>
          <w:sz w:val="20"/>
          <w:szCs w:val="20"/>
        </w:rPr>
        <w:t>Australian Bureau of Statistics (2021</w:t>
      </w:r>
      <w:r w:rsidR="00761E4A" w:rsidRPr="00EE3623">
        <w:rPr>
          <w:sz w:val="20"/>
          <w:szCs w:val="20"/>
        </w:rPr>
        <w:t>c</w:t>
      </w:r>
      <w:r w:rsidRPr="00EE3623">
        <w:rPr>
          <w:sz w:val="20"/>
          <w:szCs w:val="20"/>
        </w:rPr>
        <w:t>). Census 2001. Analysis using Table Builder</w:t>
      </w:r>
      <w:r w:rsidR="0071623D">
        <w:rPr>
          <w:sz w:val="20"/>
          <w:szCs w:val="20"/>
        </w:rPr>
        <w:t>,</w:t>
      </w:r>
      <w:r w:rsidR="00761E4A" w:rsidRPr="00EE3623">
        <w:rPr>
          <w:sz w:val="20"/>
          <w:szCs w:val="20"/>
        </w:rPr>
        <w:t xml:space="preserve"> Persons enumerated by place of usual residence.</w:t>
      </w:r>
    </w:p>
    <w:p w14:paraId="200B8792" w14:textId="0F33B68B" w:rsidR="00E53E92" w:rsidRPr="00EE3623" w:rsidRDefault="00E53E92" w:rsidP="00886086">
      <w:pPr>
        <w:rPr>
          <w:sz w:val="20"/>
          <w:szCs w:val="20"/>
        </w:rPr>
      </w:pPr>
      <w:r w:rsidRPr="00EE3623">
        <w:rPr>
          <w:sz w:val="20"/>
          <w:szCs w:val="20"/>
        </w:rPr>
        <w:t>Australian Bureau of Statistics (2022</w:t>
      </w:r>
      <w:r w:rsidR="0021518D" w:rsidRPr="00EE3623">
        <w:rPr>
          <w:sz w:val="20"/>
          <w:szCs w:val="20"/>
        </w:rPr>
        <w:t>a</w:t>
      </w:r>
      <w:r w:rsidRPr="00EE3623">
        <w:rPr>
          <w:sz w:val="20"/>
          <w:szCs w:val="20"/>
        </w:rPr>
        <w:t xml:space="preserve">). Births Australia, 2021. </w:t>
      </w:r>
    </w:p>
    <w:p w14:paraId="04D11185" w14:textId="4DEE9B7B" w:rsidR="00ED7352" w:rsidRPr="00EE3623" w:rsidRDefault="00ED7352" w:rsidP="00886086">
      <w:pPr>
        <w:rPr>
          <w:sz w:val="20"/>
          <w:szCs w:val="20"/>
        </w:rPr>
      </w:pPr>
      <w:r w:rsidRPr="00EE3623">
        <w:rPr>
          <w:sz w:val="20"/>
          <w:szCs w:val="20"/>
        </w:rPr>
        <w:t>Australian Bureau of Statistics (2022</w:t>
      </w:r>
      <w:r w:rsidR="0021518D" w:rsidRPr="00EE3623">
        <w:rPr>
          <w:sz w:val="20"/>
          <w:szCs w:val="20"/>
        </w:rPr>
        <w:t>b</w:t>
      </w:r>
      <w:r w:rsidRPr="00EE3623">
        <w:rPr>
          <w:sz w:val="20"/>
          <w:szCs w:val="20"/>
        </w:rPr>
        <w:t xml:space="preserve">). </w:t>
      </w:r>
      <w:r w:rsidR="0021518D" w:rsidRPr="00EE3623">
        <w:rPr>
          <w:sz w:val="20"/>
          <w:szCs w:val="20"/>
        </w:rPr>
        <w:t>Cultural Diversity: Census. Information on country of birth, year of arrival, ancestry, language and religion.</w:t>
      </w:r>
      <w:r w:rsidRPr="00EE3623">
        <w:rPr>
          <w:sz w:val="20"/>
          <w:szCs w:val="20"/>
        </w:rPr>
        <w:t xml:space="preserve"> </w:t>
      </w:r>
    </w:p>
    <w:p w14:paraId="71045E53" w14:textId="776D9BF7" w:rsidR="00E80125" w:rsidRPr="00EE3623" w:rsidRDefault="00E80125" w:rsidP="00886086">
      <w:pPr>
        <w:rPr>
          <w:rStyle w:val="hyperlinkChar"/>
          <w:sz w:val="20"/>
          <w:szCs w:val="20"/>
        </w:rPr>
      </w:pPr>
      <w:r w:rsidRPr="00EE3623">
        <w:rPr>
          <w:sz w:val="20"/>
          <w:szCs w:val="20"/>
        </w:rPr>
        <w:t>Australian Bureau of Statistics (2023). Population Projections, Australia. 2022 (base</w:t>
      </w:r>
      <w:r w:rsidR="0071623D">
        <w:rPr>
          <w:sz w:val="20"/>
          <w:szCs w:val="20"/>
        </w:rPr>
        <w:t>),</w:t>
      </w:r>
      <w:r w:rsidRPr="00EE3623">
        <w:rPr>
          <w:sz w:val="20"/>
          <w:szCs w:val="20"/>
        </w:rPr>
        <w:t xml:space="preserve"> 2071. </w:t>
      </w:r>
    </w:p>
    <w:p w14:paraId="684754B8" w14:textId="78002513" w:rsidR="008B2473" w:rsidRPr="00EE3623" w:rsidRDefault="008B2473" w:rsidP="00886086">
      <w:pPr>
        <w:rPr>
          <w:sz w:val="20"/>
          <w:szCs w:val="20"/>
        </w:rPr>
      </w:pPr>
      <w:r w:rsidRPr="00EE3623">
        <w:rPr>
          <w:sz w:val="20"/>
          <w:szCs w:val="20"/>
        </w:rPr>
        <w:t xml:space="preserve">Australian Bureau of Statistics (2023b). Births Australia, 2022. </w:t>
      </w:r>
    </w:p>
    <w:p w14:paraId="0B263443" w14:textId="389B3653" w:rsidR="005156DC" w:rsidRPr="00EE3623" w:rsidRDefault="005156DC" w:rsidP="00886086">
      <w:pPr>
        <w:rPr>
          <w:rStyle w:val="hyperlinkChar"/>
          <w:sz w:val="20"/>
          <w:szCs w:val="20"/>
        </w:rPr>
      </w:pPr>
      <w:r w:rsidRPr="00EE3623">
        <w:rPr>
          <w:sz w:val="20"/>
          <w:szCs w:val="20"/>
        </w:rPr>
        <w:t xml:space="preserve">Australian Bureau of Statistics (2024a). Births 2023, Australia </w:t>
      </w:r>
    </w:p>
    <w:p w14:paraId="15A53828" w14:textId="357FE1B3" w:rsidR="00BE73DD" w:rsidRPr="00EE3623" w:rsidRDefault="00BE73DD" w:rsidP="00886086">
      <w:pPr>
        <w:rPr>
          <w:sz w:val="20"/>
          <w:szCs w:val="20"/>
        </w:rPr>
      </w:pPr>
      <w:r w:rsidRPr="00EE3623">
        <w:rPr>
          <w:sz w:val="20"/>
          <w:szCs w:val="20"/>
        </w:rPr>
        <w:t>Australian Bureau of Statistics (2024</w:t>
      </w:r>
      <w:r w:rsidR="005156DC" w:rsidRPr="00EE3623">
        <w:rPr>
          <w:sz w:val="20"/>
          <w:szCs w:val="20"/>
        </w:rPr>
        <w:t>b</w:t>
      </w:r>
      <w:r w:rsidRPr="00EE3623">
        <w:rPr>
          <w:sz w:val="20"/>
          <w:szCs w:val="20"/>
        </w:rPr>
        <w:t xml:space="preserve">). Estimates and Projections, Aboriginal </w:t>
      </w:r>
      <w:r w:rsidR="00F51DC1" w:rsidRPr="00EE3623">
        <w:rPr>
          <w:sz w:val="20"/>
          <w:szCs w:val="20"/>
        </w:rPr>
        <w:t>and/or Torres</w:t>
      </w:r>
      <w:r w:rsidRPr="00EE3623">
        <w:rPr>
          <w:sz w:val="20"/>
          <w:szCs w:val="20"/>
        </w:rPr>
        <w:t xml:space="preserve"> Strait Islander Australians. Accessed 16 December 2024</w:t>
      </w:r>
    </w:p>
    <w:p w14:paraId="2B206BD4" w14:textId="060257D0" w:rsidR="0083068A" w:rsidRPr="00EE3623" w:rsidRDefault="0083068A" w:rsidP="00886086">
      <w:pPr>
        <w:rPr>
          <w:rStyle w:val="hyperlinkChar"/>
          <w:sz w:val="20"/>
          <w:szCs w:val="20"/>
        </w:rPr>
      </w:pPr>
      <w:r w:rsidRPr="00EE3623">
        <w:rPr>
          <w:sz w:val="20"/>
          <w:szCs w:val="20"/>
        </w:rPr>
        <w:t xml:space="preserve">Australian Bureau of Statistics (2025). Aboriginal </w:t>
      </w:r>
      <w:r w:rsidR="00F51DC1" w:rsidRPr="00EE3623">
        <w:rPr>
          <w:sz w:val="20"/>
          <w:szCs w:val="20"/>
        </w:rPr>
        <w:t>and/or Torres</w:t>
      </w:r>
      <w:r w:rsidRPr="00EE3623">
        <w:rPr>
          <w:sz w:val="20"/>
          <w:szCs w:val="20"/>
        </w:rPr>
        <w:t xml:space="preserve"> Strait Islander births and confinements, summary, by state Retrieved from ABS Data Explorer, 10 March 2023 </w:t>
      </w:r>
    </w:p>
    <w:p w14:paraId="6C7D1540" w14:textId="22EF7A7D" w:rsidR="00BE73DD" w:rsidRPr="00EE3623" w:rsidRDefault="006A2927" w:rsidP="00886086">
      <w:pPr>
        <w:rPr>
          <w:rStyle w:val="hyperlinkChar"/>
          <w:sz w:val="20"/>
          <w:szCs w:val="20"/>
        </w:rPr>
      </w:pPr>
      <w:r w:rsidRPr="00EE3623">
        <w:rPr>
          <w:sz w:val="20"/>
          <w:szCs w:val="20"/>
        </w:rPr>
        <w:t>Australian Institute of Health and Welfare</w:t>
      </w:r>
      <w:r w:rsidR="00FD26B1" w:rsidRPr="00EE3623">
        <w:rPr>
          <w:sz w:val="20"/>
          <w:szCs w:val="20"/>
        </w:rPr>
        <w:t xml:space="preserve"> [AIHW]</w:t>
      </w:r>
      <w:r w:rsidRPr="00EE3623">
        <w:rPr>
          <w:sz w:val="20"/>
          <w:szCs w:val="20"/>
        </w:rPr>
        <w:t xml:space="preserve"> (2023). Aboriginal </w:t>
      </w:r>
      <w:r w:rsidR="00F51DC1" w:rsidRPr="00EE3623">
        <w:rPr>
          <w:sz w:val="20"/>
          <w:szCs w:val="20"/>
        </w:rPr>
        <w:t>and/or Torres</w:t>
      </w:r>
      <w:r w:rsidRPr="00EE3623">
        <w:rPr>
          <w:sz w:val="20"/>
          <w:szCs w:val="20"/>
        </w:rPr>
        <w:t xml:space="preserve"> Strait Islander mothers and babies. </w:t>
      </w:r>
    </w:p>
    <w:p w14:paraId="351B9A89" w14:textId="56113076" w:rsidR="003E298D" w:rsidRPr="00EE3623" w:rsidRDefault="003E298D" w:rsidP="00886086">
      <w:pPr>
        <w:rPr>
          <w:sz w:val="20"/>
          <w:szCs w:val="20"/>
        </w:rPr>
      </w:pPr>
      <w:r w:rsidRPr="00EE3623">
        <w:rPr>
          <w:sz w:val="20"/>
          <w:szCs w:val="20"/>
        </w:rPr>
        <w:lastRenderedPageBreak/>
        <w:t xml:space="preserve">Baffour, B., Raymer, J., &amp; Evans, A. (2023). Recent trends in immigrant fertility in Australia. </w:t>
      </w:r>
      <w:r w:rsidRPr="00EE3623">
        <w:rPr>
          <w:i/>
          <w:iCs/>
          <w:sz w:val="20"/>
          <w:szCs w:val="20"/>
        </w:rPr>
        <w:t>Journal of International Migration and Integration</w:t>
      </w:r>
      <w:r w:rsidRPr="00EE3623">
        <w:rPr>
          <w:sz w:val="20"/>
          <w:szCs w:val="20"/>
        </w:rPr>
        <w:t xml:space="preserve">, 24, 47-67. </w:t>
      </w:r>
    </w:p>
    <w:p w14:paraId="730E8FFC" w14:textId="5D61F8F1" w:rsidR="00224E7E" w:rsidRPr="00EE3623" w:rsidRDefault="00224E7E" w:rsidP="00886086">
      <w:pPr>
        <w:rPr>
          <w:sz w:val="20"/>
          <w:szCs w:val="20"/>
        </w:rPr>
      </w:pPr>
      <w:proofErr w:type="spellStart"/>
      <w:r w:rsidRPr="00EE3623">
        <w:rPr>
          <w:sz w:val="20"/>
          <w:szCs w:val="20"/>
        </w:rPr>
        <w:t>Bagavos</w:t>
      </w:r>
      <w:proofErr w:type="spellEnd"/>
      <w:r w:rsidRPr="00EE3623">
        <w:rPr>
          <w:sz w:val="20"/>
          <w:szCs w:val="20"/>
        </w:rPr>
        <w:t>, C. (2019). On the multifaceted impact of migration on the fertility of receiving countries. </w:t>
      </w:r>
      <w:r w:rsidRPr="00EE3623">
        <w:rPr>
          <w:i/>
          <w:iCs/>
          <w:sz w:val="20"/>
          <w:szCs w:val="20"/>
        </w:rPr>
        <w:t>Demographic research</w:t>
      </w:r>
      <w:r w:rsidRPr="00EE3623">
        <w:rPr>
          <w:sz w:val="20"/>
          <w:szCs w:val="20"/>
        </w:rPr>
        <w:t>, </w:t>
      </w:r>
      <w:r w:rsidRPr="00EE3623">
        <w:rPr>
          <w:i/>
          <w:iCs/>
          <w:sz w:val="20"/>
          <w:szCs w:val="20"/>
        </w:rPr>
        <w:t>41</w:t>
      </w:r>
      <w:r w:rsidRPr="00EE3623">
        <w:rPr>
          <w:sz w:val="20"/>
          <w:szCs w:val="20"/>
        </w:rPr>
        <w:t>, 1-36.</w:t>
      </w:r>
    </w:p>
    <w:p w14:paraId="2D24C1D2" w14:textId="1C5774CD" w:rsidR="00F5468A" w:rsidRPr="00EE3623" w:rsidRDefault="00F5468A" w:rsidP="00886086">
      <w:pPr>
        <w:rPr>
          <w:sz w:val="20"/>
          <w:szCs w:val="20"/>
        </w:rPr>
      </w:pPr>
      <w:r w:rsidRPr="00EE3623">
        <w:rPr>
          <w:rFonts w:cs="Arial"/>
          <w:color w:val="222222"/>
          <w:sz w:val="20"/>
          <w:szCs w:val="20"/>
          <w:shd w:val="clear" w:color="auto" w:fill="FFFFFF"/>
        </w:rPr>
        <w:t>Biddle, N., &amp; Johnstone, K. (2014). Indigenous family formation. In </w:t>
      </w:r>
      <w:r w:rsidRPr="00EE3623">
        <w:rPr>
          <w:rFonts w:cs="Arial"/>
          <w:i/>
          <w:iCs/>
          <w:color w:val="222222"/>
          <w:sz w:val="20"/>
          <w:szCs w:val="20"/>
          <w:shd w:val="clear" w:color="auto" w:fill="FFFFFF"/>
        </w:rPr>
        <w:t>Family formation in 21st century Australia</w:t>
      </w:r>
      <w:r w:rsidRPr="00EE3623">
        <w:rPr>
          <w:rFonts w:cs="Arial"/>
          <w:color w:val="222222"/>
          <w:sz w:val="20"/>
          <w:szCs w:val="20"/>
          <w:shd w:val="clear" w:color="auto" w:fill="FFFFFF"/>
        </w:rPr>
        <w:t> (pp. 197-224). Dordrecht: Springer Netherlands.</w:t>
      </w:r>
    </w:p>
    <w:p w14:paraId="0E3F6B97" w14:textId="41E0D9B4" w:rsidR="00607089" w:rsidRPr="00EE3623" w:rsidRDefault="00607089" w:rsidP="00886086">
      <w:pPr>
        <w:rPr>
          <w:sz w:val="20"/>
          <w:szCs w:val="20"/>
        </w:rPr>
      </w:pPr>
      <w:r w:rsidRPr="00EE3623">
        <w:rPr>
          <w:sz w:val="20"/>
          <w:szCs w:val="20"/>
        </w:rPr>
        <w:t xml:space="preserve">Carmichael, G. A. (2019). Indigenous fertility in Australia: updating Alan Gray. Journal of Population Research, 36, 283-317 </w:t>
      </w:r>
    </w:p>
    <w:p w14:paraId="75E348A9" w14:textId="583AE287" w:rsidR="00A02787" w:rsidRPr="00EE3623" w:rsidRDefault="00A02787" w:rsidP="00886086">
      <w:pPr>
        <w:rPr>
          <w:sz w:val="20"/>
          <w:szCs w:val="20"/>
        </w:rPr>
      </w:pPr>
      <w:r w:rsidRPr="00EE3623">
        <w:rPr>
          <w:sz w:val="20"/>
          <w:szCs w:val="20"/>
        </w:rPr>
        <w:t>Evans, A., &amp; Gray, E. (2018). Modelling variation in fertility rates using geographically weighted regression. </w:t>
      </w:r>
      <w:r w:rsidRPr="00EE3623">
        <w:rPr>
          <w:i/>
          <w:iCs/>
          <w:sz w:val="20"/>
          <w:szCs w:val="20"/>
        </w:rPr>
        <w:t>Spatial Demography</w:t>
      </w:r>
      <w:r w:rsidRPr="00EE3623">
        <w:rPr>
          <w:sz w:val="20"/>
          <w:szCs w:val="20"/>
        </w:rPr>
        <w:t>, </w:t>
      </w:r>
      <w:r w:rsidRPr="00EE3623">
        <w:rPr>
          <w:i/>
          <w:iCs/>
          <w:sz w:val="20"/>
          <w:szCs w:val="20"/>
        </w:rPr>
        <w:t>6</w:t>
      </w:r>
      <w:r w:rsidRPr="00EE3623">
        <w:rPr>
          <w:sz w:val="20"/>
          <w:szCs w:val="20"/>
        </w:rPr>
        <w:t xml:space="preserve">(2), 121-140. </w:t>
      </w:r>
    </w:p>
    <w:p w14:paraId="163D994B" w14:textId="66113C11" w:rsidR="002651BF" w:rsidRPr="00EE3623" w:rsidRDefault="002651BF" w:rsidP="00886086">
      <w:pPr>
        <w:rPr>
          <w:rStyle w:val="hyperlinkChar"/>
          <w:sz w:val="20"/>
          <w:szCs w:val="20"/>
        </w:rPr>
      </w:pPr>
      <w:r w:rsidRPr="00EE3623">
        <w:rPr>
          <w:sz w:val="20"/>
          <w:szCs w:val="20"/>
        </w:rPr>
        <w:t>Gray, E., &amp; Evans, A. (2018). Geographic variation in parity progression in Australia. </w:t>
      </w:r>
      <w:r w:rsidRPr="00EE3623">
        <w:rPr>
          <w:i/>
          <w:iCs/>
          <w:sz w:val="20"/>
          <w:szCs w:val="20"/>
        </w:rPr>
        <w:t>Population, Space and Place</w:t>
      </w:r>
      <w:r w:rsidRPr="00EE3623">
        <w:rPr>
          <w:sz w:val="20"/>
          <w:szCs w:val="20"/>
        </w:rPr>
        <w:t>, </w:t>
      </w:r>
      <w:r w:rsidRPr="00EE3623">
        <w:rPr>
          <w:i/>
          <w:iCs/>
          <w:sz w:val="20"/>
          <w:szCs w:val="20"/>
        </w:rPr>
        <w:t>24</w:t>
      </w:r>
      <w:r w:rsidRPr="00EE3623">
        <w:rPr>
          <w:sz w:val="20"/>
          <w:szCs w:val="20"/>
        </w:rPr>
        <w:t xml:space="preserve">(2), e2080. </w:t>
      </w:r>
    </w:p>
    <w:p w14:paraId="47DE973F" w14:textId="670E05D6" w:rsidR="0059302A" w:rsidRPr="00EE3623" w:rsidRDefault="005A15A7" w:rsidP="00886086">
      <w:pPr>
        <w:rPr>
          <w:rFonts w:cs="Arial"/>
          <w:color w:val="222222"/>
          <w:sz w:val="20"/>
          <w:szCs w:val="20"/>
          <w:shd w:val="clear" w:color="auto" w:fill="FFFFFF"/>
        </w:rPr>
      </w:pPr>
      <w:r w:rsidRPr="00EE3623">
        <w:rPr>
          <w:rFonts w:cs="Arial"/>
          <w:color w:val="222222"/>
          <w:sz w:val="20"/>
          <w:szCs w:val="20"/>
          <w:shd w:val="clear" w:color="auto" w:fill="FFFFFF"/>
        </w:rPr>
        <w:t>Johnstone, K. (2010). Indigenous fertility in the Northern Territory of Australia: what do we know?</w:t>
      </w:r>
      <w:r w:rsidR="00EE3623">
        <w:rPr>
          <w:rFonts w:cs="Arial"/>
          <w:color w:val="222222"/>
          <w:sz w:val="20"/>
          <w:szCs w:val="20"/>
          <w:shd w:val="clear" w:color="auto" w:fill="FFFFFF"/>
        </w:rPr>
        <w:t xml:space="preserve"> </w:t>
      </w:r>
      <w:r w:rsidRPr="00EE3623">
        <w:rPr>
          <w:rFonts w:cs="Arial"/>
          <w:color w:val="222222"/>
          <w:sz w:val="20"/>
          <w:szCs w:val="20"/>
          <w:shd w:val="clear" w:color="auto" w:fill="FFFFFF"/>
        </w:rPr>
        <w:t>(and what can we know?). </w:t>
      </w:r>
      <w:r w:rsidRPr="00EE3623">
        <w:rPr>
          <w:rFonts w:cs="Arial"/>
          <w:i/>
          <w:iCs/>
          <w:color w:val="222222"/>
          <w:sz w:val="20"/>
          <w:szCs w:val="20"/>
          <w:shd w:val="clear" w:color="auto" w:fill="FFFFFF"/>
        </w:rPr>
        <w:t>Journal of Population Research</w:t>
      </w:r>
      <w:r w:rsidRPr="00EE3623">
        <w:rPr>
          <w:rFonts w:cs="Arial"/>
          <w:color w:val="222222"/>
          <w:sz w:val="20"/>
          <w:szCs w:val="20"/>
          <w:shd w:val="clear" w:color="auto" w:fill="FFFFFF"/>
        </w:rPr>
        <w:t>, </w:t>
      </w:r>
      <w:r w:rsidRPr="00EE3623">
        <w:rPr>
          <w:rFonts w:cs="Arial"/>
          <w:i/>
          <w:iCs/>
          <w:color w:val="222222"/>
          <w:sz w:val="20"/>
          <w:szCs w:val="20"/>
          <w:shd w:val="clear" w:color="auto" w:fill="FFFFFF"/>
        </w:rPr>
        <w:t>27</w:t>
      </w:r>
      <w:r w:rsidRPr="00EE3623">
        <w:rPr>
          <w:rFonts w:cs="Arial"/>
          <w:color w:val="222222"/>
          <w:sz w:val="20"/>
          <w:szCs w:val="20"/>
          <w:shd w:val="clear" w:color="auto" w:fill="FFFFFF"/>
        </w:rPr>
        <w:t>(3), 169-192.</w:t>
      </w:r>
    </w:p>
    <w:p w14:paraId="34CC8D4B" w14:textId="3E3A4F03" w:rsidR="0059302A" w:rsidRPr="00EE3623" w:rsidRDefault="0059302A" w:rsidP="00886086">
      <w:pPr>
        <w:pStyle w:val="Hyperlink1"/>
        <w:spacing w:after="120"/>
        <w:ind w:left="0" w:firstLine="0"/>
        <w:rPr>
          <w:sz w:val="20"/>
          <w:szCs w:val="20"/>
        </w:rPr>
      </w:pPr>
      <w:r w:rsidRPr="00EE3623">
        <w:rPr>
          <w:rFonts w:cs="Arial"/>
          <w:color w:val="222222"/>
          <w:sz w:val="20"/>
          <w:szCs w:val="20"/>
          <w:shd w:val="clear" w:color="auto" w:fill="FFFFFF"/>
        </w:rPr>
        <w:t xml:space="preserve">Lei, L. (2012). On a special property of the Total Fertility Rate. </w:t>
      </w:r>
      <w:r w:rsidR="00FC1EA5" w:rsidRPr="00EE3623">
        <w:rPr>
          <w:rFonts w:cs="Arial"/>
          <w:color w:val="222222"/>
          <w:sz w:val="20"/>
          <w:szCs w:val="20"/>
          <w:shd w:val="clear" w:color="auto" w:fill="FFFFFF"/>
        </w:rPr>
        <w:t>Paper Presented at the 2012 Annual Meeting of the Population Association of America. San Francisco</w:t>
      </w:r>
      <w:r w:rsidR="004371F1" w:rsidRPr="00EE3623">
        <w:rPr>
          <w:rFonts w:cs="Arial"/>
          <w:color w:val="222222"/>
          <w:sz w:val="20"/>
          <w:szCs w:val="20"/>
          <w:shd w:val="clear" w:color="auto" w:fill="FFFFFF"/>
        </w:rPr>
        <w:t xml:space="preserve">, May 3-5. </w:t>
      </w:r>
    </w:p>
    <w:p w14:paraId="785DC776" w14:textId="413AF64C" w:rsidR="00787845" w:rsidRPr="00EE3623" w:rsidRDefault="00787845" w:rsidP="00886086">
      <w:pPr>
        <w:rPr>
          <w:sz w:val="20"/>
          <w:szCs w:val="20"/>
        </w:rPr>
      </w:pPr>
      <w:r w:rsidRPr="00EE3623">
        <w:rPr>
          <w:sz w:val="20"/>
          <w:szCs w:val="20"/>
        </w:rPr>
        <w:t>Martins, J. M., &amp; Yusuf, F. (2020). Changes in Ethnic Composition and Fertility of the Australian Population. </w:t>
      </w:r>
      <w:r w:rsidRPr="00EE3623">
        <w:rPr>
          <w:i/>
          <w:iCs/>
          <w:sz w:val="20"/>
          <w:szCs w:val="20"/>
        </w:rPr>
        <w:t>Population Change and Public Policy</w:t>
      </w:r>
      <w:r w:rsidRPr="00EE3623">
        <w:rPr>
          <w:sz w:val="20"/>
          <w:szCs w:val="20"/>
        </w:rPr>
        <w:t>, 51-60.</w:t>
      </w:r>
    </w:p>
    <w:p w14:paraId="5AD6070A" w14:textId="1F2D4473" w:rsidR="002A68B8" w:rsidRPr="00EE3623" w:rsidRDefault="002A68B8" w:rsidP="00886086">
      <w:pPr>
        <w:rPr>
          <w:sz w:val="20"/>
          <w:szCs w:val="20"/>
        </w:rPr>
      </w:pPr>
      <w:proofErr w:type="spellStart"/>
      <w:r w:rsidRPr="00EE3623">
        <w:rPr>
          <w:sz w:val="20"/>
          <w:szCs w:val="20"/>
        </w:rPr>
        <w:t>Peristera</w:t>
      </w:r>
      <w:proofErr w:type="spellEnd"/>
      <w:r w:rsidRPr="00EE3623">
        <w:rPr>
          <w:sz w:val="20"/>
          <w:szCs w:val="20"/>
        </w:rPr>
        <w:t xml:space="preserve">, P., &amp; </w:t>
      </w:r>
      <w:proofErr w:type="spellStart"/>
      <w:r w:rsidRPr="00EE3623">
        <w:rPr>
          <w:sz w:val="20"/>
          <w:szCs w:val="20"/>
        </w:rPr>
        <w:t>Kostaki</w:t>
      </w:r>
      <w:proofErr w:type="spellEnd"/>
      <w:r w:rsidRPr="00EE3623">
        <w:rPr>
          <w:sz w:val="20"/>
          <w:szCs w:val="20"/>
        </w:rPr>
        <w:t xml:space="preserve">, A. (2007). </w:t>
      </w:r>
      <w:proofErr w:type="spellStart"/>
      <w:r w:rsidRPr="00EE3623">
        <w:rPr>
          <w:sz w:val="20"/>
          <w:szCs w:val="20"/>
        </w:rPr>
        <w:t>Modeling</w:t>
      </w:r>
      <w:proofErr w:type="spellEnd"/>
      <w:r w:rsidRPr="00EE3623">
        <w:rPr>
          <w:sz w:val="20"/>
          <w:szCs w:val="20"/>
        </w:rPr>
        <w:t xml:space="preserve"> fertility in modern populations. </w:t>
      </w:r>
      <w:r w:rsidRPr="00EE3623">
        <w:rPr>
          <w:i/>
          <w:sz w:val="20"/>
          <w:szCs w:val="20"/>
        </w:rPr>
        <w:t>Demographic Research</w:t>
      </w:r>
      <w:r w:rsidRPr="00EE3623">
        <w:rPr>
          <w:sz w:val="20"/>
          <w:szCs w:val="20"/>
        </w:rPr>
        <w:t>, </w:t>
      </w:r>
      <w:r w:rsidRPr="00EE3623">
        <w:rPr>
          <w:i/>
          <w:sz w:val="20"/>
          <w:szCs w:val="20"/>
        </w:rPr>
        <w:t>16</w:t>
      </w:r>
      <w:r w:rsidRPr="00EE3623">
        <w:rPr>
          <w:sz w:val="20"/>
          <w:szCs w:val="20"/>
        </w:rPr>
        <w:t>, 141-194.</w:t>
      </w:r>
    </w:p>
    <w:p w14:paraId="2B68F90B" w14:textId="77777777" w:rsidR="0025189D" w:rsidRPr="00EE3623" w:rsidRDefault="0025189D" w:rsidP="00886086">
      <w:pPr>
        <w:rPr>
          <w:rFonts w:cs="Arial"/>
          <w:color w:val="222222"/>
          <w:sz w:val="20"/>
          <w:szCs w:val="20"/>
        </w:rPr>
      </w:pPr>
      <w:r w:rsidRPr="00EE3623">
        <w:rPr>
          <w:rFonts w:cs="Arial"/>
          <w:color w:val="222222"/>
          <w:sz w:val="20"/>
          <w:szCs w:val="20"/>
        </w:rPr>
        <w:t xml:space="preserve">Raymer, J., Bai, X., and Liu, N. (2020). The dynamic complexity of Australia’s immigration and emigration flows from 1981 to 2016. </w:t>
      </w:r>
      <w:r w:rsidRPr="00EE3623">
        <w:rPr>
          <w:rFonts w:cs="Arial"/>
          <w:i/>
          <w:color w:val="222222"/>
          <w:sz w:val="20"/>
          <w:szCs w:val="20"/>
        </w:rPr>
        <w:t>Journal of Population Research</w:t>
      </w:r>
      <w:r w:rsidRPr="00EE3623">
        <w:rPr>
          <w:rFonts w:cs="Arial"/>
          <w:color w:val="222222"/>
          <w:sz w:val="20"/>
          <w:szCs w:val="20"/>
        </w:rPr>
        <w:t>, 37(3), 213-242.</w:t>
      </w:r>
    </w:p>
    <w:p w14:paraId="7526DD88" w14:textId="77777777" w:rsidR="0025189D" w:rsidRPr="00EE3623" w:rsidRDefault="0025189D" w:rsidP="00886086">
      <w:pPr>
        <w:rPr>
          <w:rFonts w:cs="Arial"/>
          <w:color w:val="222222"/>
          <w:sz w:val="20"/>
          <w:szCs w:val="20"/>
        </w:rPr>
      </w:pPr>
      <w:r w:rsidRPr="00EE3623">
        <w:rPr>
          <w:rFonts w:cs="Arial"/>
          <w:color w:val="222222"/>
          <w:sz w:val="20"/>
          <w:szCs w:val="20"/>
        </w:rPr>
        <w:t xml:space="preserve">Raymer, J., O’Donnell, J., and Guan, Q. (2025). The contributions of past immigration to current age-sex structures of immigrant populations in Australia. </w:t>
      </w:r>
      <w:r w:rsidRPr="00EE3623">
        <w:rPr>
          <w:rFonts w:cs="Arial"/>
          <w:i/>
          <w:color w:val="222222"/>
          <w:sz w:val="20"/>
          <w:szCs w:val="20"/>
        </w:rPr>
        <w:t>Vienna Yearbook of Population Research</w:t>
      </w:r>
      <w:r w:rsidRPr="00EE3623">
        <w:rPr>
          <w:rFonts w:cs="Arial"/>
          <w:color w:val="222222"/>
          <w:sz w:val="20"/>
          <w:szCs w:val="20"/>
        </w:rPr>
        <w:t>, 23, 1-17.</w:t>
      </w:r>
    </w:p>
    <w:p w14:paraId="7C04E584" w14:textId="6B485220" w:rsidR="00962437" w:rsidRPr="00EE3623" w:rsidRDefault="00962437" w:rsidP="00886086">
      <w:pPr>
        <w:rPr>
          <w:sz w:val="20"/>
          <w:szCs w:val="20"/>
        </w:rPr>
      </w:pPr>
      <w:r w:rsidRPr="00EE3623">
        <w:rPr>
          <w:rFonts w:cs="Arial"/>
          <w:color w:val="222222"/>
          <w:sz w:val="20"/>
          <w:szCs w:val="20"/>
          <w:shd w:val="clear" w:color="auto" w:fill="FFFFFF"/>
        </w:rPr>
        <w:t xml:space="preserve">Taylor, A., Wilson, T., Temple, J., Kelaher, M., &amp; Eades, S. (2021). The future growth and spatial shift of Australia's Aboriginal </w:t>
      </w:r>
      <w:r w:rsidR="00F51DC1" w:rsidRPr="00EE3623">
        <w:rPr>
          <w:rFonts w:cs="Arial"/>
          <w:color w:val="222222"/>
          <w:sz w:val="20"/>
          <w:szCs w:val="20"/>
          <w:shd w:val="clear" w:color="auto" w:fill="FFFFFF"/>
        </w:rPr>
        <w:t>and/or Torres</w:t>
      </w:r>
      <w:r w:rsidRPr="00EE3623">
        <w:rPr>
          <w:rFonts w:cs="Arial"/>
          <w:color w:val="222222"/>
          <w:sz w:val="20"/>
          <w:szCs w:val="20"/>
          <w:shd w:val="clear" w:color="auto" w:fill="FFFFFF"/>
        </w:rPr>
        <w:t xml:space="preserve"> Strait Islander population, 2016–2051. </w:t>
      </w:r>
      <w:r w:rsidRPr="00EE3623">
        <w:rPr>
          <w:rFonts w:cs="Arial"/>
          <w:i/>
          <w:iCs/>
          <w:color w:val="222222"/>
          <w:sz w:val="20"/>
          <w:szCs w:val="20"/>
          <w:shd w:val="clear" w:color="auto" w:fill="FFFFFF"/>
        </w:rPr>
        <w:t>Population, Space and Place</w:t>
      </w:r>
      <w:r w:rsidRPr="00EE3623">
        <w:rPr>
          <w:rFonts w:cs="Arial"/>
          <w:color w:val="222222"/>
          <w:sz w:val="20"/>
          <w:szCs w:val="20"/>
          <w:shd w:val="clear" w:color="auto" w:fill="FFFFFF"/>
        </w:rPr>
        <w:t>, </w:t>
      </w:r>
      <w:r w:rsidRPr="00EE3623">
        <w:rPr>
          <w:rFonts w:cs="Arial"/>
          <w:i/>
          <w:iCs/>
          <w:color w:val="222222"/>
          <w:sz w:val="20"/>
          <w:szCs w:val="20"/>
          <w:shd w:val="clear" w:color="auto" w:fill="FFFFFF"/>
        </w:rPr>
        <w:t>27</w:t>
      </w:r>
      <w:r w:rsidRPr="00EE3623">
        <w:rPr>
          <w:rFonts w:cs="Arial"/>
          <w:color w:val="222222"/>
          <w:sz w:val="20"/>
          <w:szCs w:val="20"/>
          <w:shd w:val="clear" w:color="auto" w:fill="FFFFFF"/>
        </w:rPr>
        <w:t>(4), e2401.</w:t>
      </w:r>
    </w:p>
    <w:p w14:paraId="462ADFD0" w14:textId="5DF60313" w:rsidR="0064626E" w:rsidRPr="00EE3623" w:rsidRDefault="0064626E" w:rsidP="00886086">
      <w:pPr>
        <w:rPr>
          <w:rStyle w:val="hyperlinkChar"/>
          <w:sz w:val="20"/>
          <w:szCs w:val="20"/>
        </w:rPr>
      </w:pPr>
      <w:r w:rsidRPr="00EE3623">
        <w:rPr>
          <w:sz w:val="20"/>
          <w:szCs w:val="20"/>
        </w:rPr>
        <w:t>Yang, Y., Shang, H. L., &amp; Raymer, J. (2022). Forecasting Australian fertility by age, region, and birthplace. </w:t>
      </w:r>
      <w:r w:rsidRPr="00EE3623">
        <w:rPr>
          <w:i/>
          <w:iCs/>
          <w:sz w:val="20"/>
          <w:szCs w:val="20"/>
        </w:rPr>
        <w:t>International Journal of Forecasting</w:t>
      </w:r>
      <w:r w:rsidRPr="00EE3623">
        <w:rPr>
          <w:sz w:val="20"/>
          <w:szCs w:val="20"/>
        </w:rPr>
        <w:t xml:space="preserve">. </w:t>
      </w:r>
    </w:p>
    <w:bookmarkEnd w:id="4"/>
    <w:p w14:paraId="2EEBB641" w14:textId="77777777" w:rsidR="00B1119B" w:rsidRDefault="00431306" w:rsidP="00886086">
      <w:pPr>
        <w:rPr>
          <w:rFonts w:cs="Arial"/>
          <w:color w:val="222222"/>
          <w:sz w:val="20"/>
          <w:szCs w:val="20"/>
          <w:shd w:val="clear" w:color="auto" w:fill="FFFFFF"/>
        </w:rPr>
      </w:pPr>
      <w:r w:rsidRPr="00EE3623">
        <w:rPr>
          <w:rFonts w:cs="Arial"/>
          <w:color w:val="222222"/>
          <w:sz w:val="20"/>
          <w:szCs w:val="20"/>
          <w:shd w:val="clear" w:color="auto" w:fill="FFFFFF"/>
        </w:rPr>
        <w:t>Venn, D., &amp; Dinku, Y. (2020). Can increased educational attainment explain declining Indigenous fertility? </w:t>
      </w:r>
      <w:r w:rsidRPr="00EE3623">
        <w:rPr>
          <w:rFonts w:cs="Arial"/>
          <w:i/>
          <w:iCs/>
          <w:color w:val="222222"/>
          <w:sz w:val="20"/>
          <w:szCs w:val="20"/>
          <w:shd w:val="clear" w:color="auto" w:fill="FFFFFF"/>
        </w:rPr>
        <w:t>Australian Journal of Social Issues</w:t>
      </w:r>
      <w:r w:rsidRPr="00EE3623">
        <w:rPr>
          <w:rFonts w:cs="Arial"/>
          <w:color w:val="222222"/>
          <w:sz w:val="20"/>
          <w:szCs w:val="20"/>
          <w:shd w:val="clear" w:color="auto" w:fill="FFFFFF"/>
        </w:rPr>
        <w:t>, </w:t>
      </w:r>
      <w:r w:rsidRPr="00EE3623">
        <w:rPr>
          <w:rFonts w:cs="Arial"/>
          <w:i/>
          <w:iCs/>
          <w:color w:val="222222"/>
          <w:sz w:val="20"/>
          <w:szCs w:val="20"/>
          <w:shd w:val="clear" w:color="auto" w:fill="FFFFFF"/>
        </w:rPr>
        <w:t>55</w:t>
      </w:r>
      <w:r w:rsidRPr="00EE3623">
        <w:rPr>
          <w:rFonts w:cs="Arial"/>
          <w:color w:val="222222"/>
          <w:sz w:val="20"/>
          <w:szCs w:val="20"/>
          <w:shd w:val="clear" w:color="auto" w:fill="FFFFFF"/>
        </w:rPr>
        <w:t>(3), 339-353.</w:t>
      </w:r>
    </w:p>
    <w:p w14:paraId="3B20D35E" w14:textId="7358C0DC" w:rsidR="00530157" w:rsidRPr="00EE3623" w:rsidRDefault="00530157" w:rsidP="009C3378">
      <w:pPr>
        <w:ind w:left="624" w:hanging="624"/>
        <w:rPr>
          <w:rFonts w:asciiTheme="majorHAnsi" w:eastAsiaTheme="majorEastAsia" w:hAnsiTheme="majorHAnsi" w:cstheme="majorBidi"/>
          <w:color w:val="8E610A" w:themeColor="accent1" w:themeShade="BF"/>
          <w:sz w:val="20"/>
          <w:szCs w:val="20"/>
        </w:rPr>
      </w:pPr>
      <w:r w:rsidRPr="00EE3623">
        <w:rPr>
          <w:rFonts w:asciiTheme="majorHAnsi" w:hAnsiTheme="majorHAnsi"/>
          <w:sz w:val="20"/>
          <w:szCs w:val="20"/>
        </w:rPr>
        <w:br w:type="page"/>
      </w:r>
    </w:p>
    <w:p w14:paraId="3E7F78E2" w14:textId="17AB0AA7" w:rsidR="00E92602" w:rsidRPr="00EE3623" w:rsidRDefault="00530157" w:rsidP="00B1119B">
      <w:pPr>
        <w:pStyle w:val="Heading1"/>
      </w:pPr>
      <w:bookmarkStart w:id="9" w:name="_Toc238734064"/>
      <w:r w:rsidRPr="00EE3623">
        <w:lastRenderedPageBreak/>
        <w:t>Technical</w:t>
      </w:r>
      <w:r w:rsidR="00E92602" w:rsidRPr="00EE3623">
        <w:t xml:space="preserve"> </w:t>
      </w:r>
      <w:r w:rsidR="00535DA9" w:rsidRPr="00EE3623">
        <w:t>A</w:t>
      </w:r>
      <w:r w:rsidR="00E92602" w:rsidRPr="00EE3623">
        <w:t>ppendix</w:t>
      </w:r>
      <w:bookmarkEnd w:id="9"/>
    </w:p>
    <w:p w14:paraId="18690CC8" w14:textId="77777777" w:rsidR="00E92602" w:rsidRPr="00EE3623" w:rsidRDefault="00E92602" w:rsidP="00B1119B">
      <w:pPr>
        <w:pStyle w:val="Heading2"/>
      </w:pPr>
      <w:r w:rsidRPr="00EE3623">
        <w:t>Reconciliation of sub-national projections</w:t>
      </w:r>
    </w:p>
    <w:p w14:paraId="111C02BE" w14:textId="4D9EC617" w:rsidR="00E92602" w:rsidRPr="00EE3623" w:rsidRDefault="00E92602" w:rsidP="00E92602">
      <w:r w:rsidRPr="00EE3623">
        <w:t>When conducting sub-</w:t>
      </w:r>
      <w:r w:rsidR="001E7D7E" w:rsidRPr="00EE3623">
        <w:t>n</w:t>
      </w:r>
      <w:r w:rsidRPr="00EE3623">
        <w:t>ational projections</w:t>
      </w:r>
      <w:r w:rsidR="00535DA9" w:rsidRPr="00EE3623">
        <w:t>,</w:t>
      </w:r>
      <w:r w:rsidRPr="00EE3623">
        <w:t xml:space="preserve"> an important restriction is that the sub-</w:t>
      </w:r>
      <w:r w:rsidR="007E7C23" w:rsidRPr="00EE3623">
        <w:t>n</w:t>
      </w:r>
      <w:r w:rsidRPr="00EE3623">
        <w:t>ational rates must be consistent with the higher-level (</w:t>
      </w:r>
      <w:r w:rsidR="00011792" w:rsidRPr="00EE3623">
        <w:t>n</w:t>
      </w:r>
      <w:r w:rsidRPr="00EE3623">
        <w:t xml:space="preserve">ational) rate (Yang </w:t>
      </w:r>
      <w:r w:rsidRPr="00EE3623">
        <w:rPr>
          <w:i/>
          <w:iCs/>
        </w:rPr>
        <w:t>et al.</w:t>
      </w:r>
      <w:r w:rsidRPr="00EE3623">
        <w:t xml:space="preserve"> 2022). For the states’ fertility to reconcile to the </w:t>
      </w:r>
      <w:r w:rsidR="00011792" w:rsidRPr="00EE3623">
        <w:t>n</w:t>
      </w:r>
      <w:r w:rsidRPr="00EE3623">
        <w:t>ational fertility level coherently</w:t>
      </w:r>
      <w:r w:rsidR="007E7C23" w:rsidRPr="00EE3623">
        <w:t>,</w:t>
      </w:r>
      <w:r w:rsidRPr="00EE3623">
        <w:t xml:space="preserve"> we conducted initial projections followed by small adjustments in some cases, so that the number of births across the States and Territories in any year matches the number of births in the National population. For this, and to predict what contribution each State</w:t>
      </w:r>
      <w:r w:rsidR="00011792" w:rsidRPr="00EE3623">
        <w:t>/Territory</w:t>
      </w:r>
      <w:r w:rsidRPr="00EE3623">
        <w:t xml:space="preserve"> would make to the National TFR, future estimates of the resident population are needed. These were sourced from the 2022</w:t>
      </w:r>
      <w:r w:rsidR="0071623D" w:rsidRPr="0071623D">
        <w:t>–</w:t>
      </w:r>
      <w:r w:rsidRPr="00EE3623">
        <w:t xml:space="preserve">2071 Population Projections by state produced by the Australian Bureau of Statistics (2023). </w:t>
      </w:r>
    </w:p>
    <w:p w14:paraId="7AA1DB55" w14:textId="79914541" w:rsidR="00E92602" w:rsidRPr="00EE3623" w:rsidRDefault="00E92602" w:rsidP="00E92602">
      <w:r w:rsidRPr="00EE3623">
        <w:t>For the state projections</w:t>
      </w:r>
      <w:r w:rsidR="00A36E88" w:rsidRPr="00EE3623">
        <w:t>,</w:t>
      </w:r>
      <w:r w:rsidRPr="00EE3623">
        <w:t xml:space="preserve"> a hybrid top-down, bottom-up approach was used. The Northern Territory, Tasmania, and the Australian Capital Territory are projected directly (bottom-up), while the larger states have a top-down projection applied. Within each state, the GCCSA fertility rates were projected using a top-down </w:t>
      </w:r>
      <w:r w:rsidR="00E31214" w:rsidRPr="00EE3623">
        <w:t>approach.</w:t>
      </w:r>
    </w:p>
    <w:p w14:paraId="2E684171" w14:textId="551AC78C" w:rsidR="00E92602" w:rsidRPr="00EE3623" w:rsidRDefault="00E92602" w:rsidP="00E92602">
      <w:r w:rsidRPr="00EE3623">
        <w:t>The projected population of women by single year of age are used up to the year 2035. From 2035 onwards</w:t>
      </w:r>
      <w:r w:rsidR="00AE0578" w:rsidRPr="00EE3623">
        <w:t>,</w:t>
      </w:r>
      <w:r w:rsidRPr="00EE3623">
        <w:t xml:space="preserve"> the population of women in their mid-teens would be born between now and the start of 2035. As such in the ABS population projections, these would be determined by projected fertility. To avoid this circularity, we keep the percentage distribution between states stable from 2035 onwards. </w:t>
      </w:r>
    </w:p>
    <w:p w14:paraId="70A365BD" w14:textId="77777777" w:rsidR="00E92602" w:rsidRPr="00EE3623" w:rsidRDefault="00E92602" w:rsidP="00E92602">
      <w:r w:rsidRPr="00EE3623">
        <w:t xml:space="preserve">For NT, TAS and ACT, fertility is projected based on the assumption that these states may follow a slightly different trend from other states. The </w:t>
      </w:r>
      <w:proofErr w:type="spellStart"/>
      <w:r w:rsidRPr="00EE3623">
        <w:t>Peristera</w:t>
      </w:r>
      <w:proofErr w:type="spellEnd"/>
      <w:r w:rsidRPr="00EE3623">
        <w:t xml:space="preserve"> and </w:t>
      </w:r>
      <w:proofErr w:type="spellStart"/>
      <w:r w:rsidRPr="00EE3623">
        <w:t>Kostaki</w:t>
      </w:r>
      <w:proofErr w:type="spellEnd"/>
      <w:r w:rsidRPr="00EE3623">
        <w:t xml:space="preserve"> (2007) model was used to project fertility in each of the three smaller jurisdictions, as was done with the National projections. However, the values for the trajectories of these projections were different to the national parameters. </w:t>
      </w:r>
    </w:p>
    <w:p w14:paraId="4782EDC2" w14:textId="23AC9383" w:rsidR="00E92602" w:rsidRPr="00EE3623" w:rsidRDefault="00E92602" w:rsidP="00E92602">
      <w:r w:rsidRPr="00EE3623">
        <w:t xml:space="preserve">The historical and predicted contributions to fertility at different ages for these states/territories was calculated and subtracted from the National figures. For the remaining states, a ratio was calculated describing, for each age whether they were above or below the national average (minus NT, ACT, and TAS). A ratio above </w:t>
      </w:r>
      <w:r w:rsidR="00D70CA5" w:rsidRPr="00EE3623">
        <w:t>one</w:t>
      </w:r>
      <w:r w:rsidRPr="00EE3623">
        <w:t xml:space="preserve"> for an age meant that for that age, the State was above average. This ratio for each of the large States was then used to distribute their relative ASFRs according to the projected alternative national ones. Due to fluctuations over time, the data was smoothed using locally weighted smoothing. After </w:t>
      </w:r>
      <w:proofErr w:type="gramStart"/>
      <w:r w:rsidRPr="00EE3623">
        <w:t xml:space="preserve">all </w:t>
      </w:r>
      <w:r w:rsidR="00F74B63" w:rsidRPr="00EE3623">
        <w:t>of</w:t>
      </w:r>
      <w:proofErr w:type="gramEnd"/>
      <w:r w:rsidR="00F74B63" w:rsidRPr="00EE3623">
        <w:t xml:space="preserve"> </w:t>
      </w:r>
      <w:r w:rsidRPr="00EE3623">
        <w:t xml:space="preserve">the larger states had been projected in the final stage, the fertility of the smaller states was added back in. </w:t>
      </w:r>
    </w:p>
    <w:p w14:paraId="04E80D1D" w14:textId="73F7DC10" w:rsidR="00E92602" w:rsidRPr="00EE3623" w:rsidRDefault="00E92602" w:rsidP="00E92602">
      <w:r w:rsidRPr="00EE3623">
        <w:t xml:space="preserve">The ratio was then modelled to gradually stabilise using a damping function, where values under </w:t>
      </w:r>
      <w:r w:rsidR="00F74B63" w:rsidRPr="00EE3623">
        <w:t>one</w:t>
      </w:r>
      <w:r w:rsidRPr="00EE3623">
        <w:t xml:space="preserve"> were pulled up and values over </w:t>
      </w:r>
      <w:r w:rsidR="004D12E0" w:rsidRPr="00EE3623">
        <w:t>one</w:t>
      </w:r>
      <w:r w:rsidRPr="00EE3623">
        <w:t xml:space="preserve"> </w:t>
      </w:r>
      <w:proofErr w:type="gramStart"/>
      <w:r w:rsidRPr="00EE3623">
        <w:t>were</w:t>
      </w:r>
      <w:proofErr w:type="gramEnd"/>
      <w:r w:rsidRPr="00EE3623">
        <w:t xml:space="preserve"> pulled down. States which were further from the national pattern, had a higher damp</w:t>
      </w:r>
      <w:r w:rsidR="004D12E0" w:rsidRPr="00EE3623">
        <w:t>en</w:t>
      </w:r>
      <w:r w:rsidRPr="00EE3623">
        <w:t xml:space="preserve">ing value applied. Victoria was given the highest value, whereas QLD and WA had a slightly lower one compared to NSW and SA. This method was </w:t>
      </w:r>
      <w:r w:rsidR="004D12E0" w:rsidRPr="00EE3623">
        <w:t>used</w:t>
      </w:r>
      <w:r w:rsidRPr="00EE3623">
        <w:t xml:space="preserve"> to ensure a trend towards convergence with the </w:t>
      </w:r>
      <w:r w:rsidR="00D64366" w:rsidRPr="00EE3623">
        <w:t>n</w:t>
      </w:r>
      <w:r w:rsidRPr="00EE3623">
        <w:t>ational age pattern. We can see this process in the example of the ratio of the QLD ASFR versus the (alternative) National one as observed in 2023</w:t>
      </w:r>
      <w:r w:rsidR="0071623D" w:rsidRPr="0071623D">
        <w:t>–</w:t>
      </w:r>
      <w:r w:rsidRPr="00EE3623">
        <w:t>24 and the flattening towards one predicted by 2065</w:t>
      </w:r>
      <w:r w:rsidR="0071623D" w:rsidRPr="0071623D">
        <w:t>–</w:t>
      </w:r>
      <w:r w:rsidRPr="00EE3623">
        <w:t xml:space="preserve">66 (Figure </w:t>
      </w:r>
      <w:r w:rsidR="002767C9" w:rsidRPr="00EE3623">
        <w:t>SA1</w:t>
      </w:r>
      <w:r w:rsidRPr="00EE3623">
        <w:t xml:space="preserve">). </w:t>
      </w:r>
    </w:p>
    <w:p w14:paraId="6EDD2679" w14:textId="77777777" w:rsidR="00B1119B" w:rsidRDefault="00B1119B">
      <w:r>
        <w:rPr>
          <w:b/>
          <w:bCs/>
        </w:rPr>
        <w:br w:type="page"/>
      </w:r>
    </w:p>
    <w:p w14:paraId="13D30EAA" w14:textId="2AD3D4A9" w:rsidR="00CE3613" w:rsidRPr="002D09C3" w:rsidRDefault="00CE3613" w:rsidP="002D09C3">
      <w:pPr>
        <w:rPr>
          <w:rStyle w:val="Strong"/>
        </w:rPr>
      </w:pPr>
      <w:r w:rsidRPr="002D09C3">
        <w:rPr>
          <w:rStyle w:val="Strong"/>
        </w:rPr>
        <w:lastRenderedPageBreak/>
        <w:t>Figure</w:t>
      </w:r>
      <w:r w:rsidR="002D09C3" w:rsidRPr="002D09C3">
        <w:rPr>
          <w:rStyle w:val="Strong"/>
        </w:rPr>
        <w:t> </w:t>
      </w:r>
      <w:r w:rsidRPr="002D09C3">
        <w:rPr>
          <w:rStyle w:val="Strong"/>
        </w:rPr>
        <w:t>SA</w:t>
      </w:r>
      <w:r w:rsidR="00E73299" w:rsidRPr="002D09C3">
        <w:rPr>
          <w:rStyle w:val="Strong"/>
        </w:rPr>
        <w:fldChar w:fldCharType="begin"/>
      </w:r>
      <w:r w:rsidR="00E73299" w:rsidRPr="002D09C3">
        <w:rPr>
          <w:rStyle w:val="Strong"/>
        </w:rPr>
        <w:instrText xml:space="preserve"> SEQ Figure_SA \* ARABIC </w:instrText>
      </w:r>
      <w:r w:rsidR="00E73299" w:rsidRPr="002D09C3">
        <w:rPr>
          <w:rStyle w:val="Strong"/>
        </w:rPr>
        <w:fldChar w:fldCharType="separate"/>
      </w:r>
      <w:r w:rsidR="00E73299" w:rsidRPr="002D09C3">
        <w:rPr>
          <w:rStyle w:val="Strong"/>
        </w:rPr>
        <w:t>1</w:t>
      </w:r>
      <w:r w:rsidR="00E73299" w:rsidRPr="002D09C3">
        <w:rPr>
          <w:rStyle w:val="Strong"/>
        </w:rPr>
        <w:fldChar w:fldCharType="end"/>
      </w:r>
      <w:r w:rsidRPr="002D09C3">
        <w:rPr>
          <w:rStyle w:val="Strong"/>
        </w:rPr>
        <w:t>:</w:t>
      </w:r>
      <w:r w:rsidR="00D438A1" w:rsidRPr="002D09C3">
        <w:rPr>
          <w:rStyle w:val="Strong"/>
        </w:rPr>
        <w:t xml:space="preserve"> Observed and predicted r</w:t>
      </w:r>
      <w:r w:rsidRPr="002D09C3">
        <w:rPr>
          <w:rStyle w:val="Strong"/>
        </w:rPr>
        <w:t xml:space="preserve">atio of </w:t>
      </w:r>
      <w:r w:rsidR="00D438A1" w:rsidRPr="002D09C3">
        <w:rPr>
          <w:rStyle w:val="Strong"/>
        </w:rPr>
        <w:t>fertility rates</w:t>
      </w:r>
      <w:r w:rsidRPr="002D09C3">
        <w:rPr>
          <w:rStyle w:val="Strong"/>
        </w:rPr>
        <w:t xml:space="preserve"> in Queensland compared to the </w:t>
      </w:r>
      <w:r w:rsidR="00190CE3" w:rsidRPr="002D09C3">
        <w:rPr>
          <w:rStyle w:val="Strong"/>
        </w:rPr>
        <w:t>n</w:t>
      </w:r>
      <w:r w:rsidRPr="002D09C3">
        <w:rPr>
          <w:rStyle w:val="Strong"/>
        </w:rPr>
        <w:t xml:space="preserve">ational average </w:t>
      </w:r>
      <w:r w:rsidR="00190CE3" w:rsidRPr="002D09C3">
        <w:rPr>
          <w:rStyle w:val="Strong"/>
        </w:rPr>
        <w:t>by age</w:t>
      </w:r>
      <w:r w:rsidRPr="002D09C3">
        <w:rPr>
          <w:rStyle w:val="Strong"/>
        </w:rPr>
        <w:t>, 2023</w:t>
      </w:r>
      <w:r w:rsidR="0071623D" w:rsidRPr="002D09C3">
        <w:rPr>
          <w:rStyle w:val="Strong"/>
        </w:rPr>
        <w:t>–</w:t>
      </w:r>
      <w:r w:rsidRPr="002D09C3">
        <w:rPr>
          <w:rStyle w:val="Strong"/>
        </w:rPr>
        <w:t>24 and 2065</w:t>
      </w:r>
      <w:r w:rsidR="0071623D" w:rsidRPr="002D09C3">
        <w:rPr>
          <w:rStyle w:val="Strong"/>
        </w:rPr>
        <w:t>–</w:t>
      </w:r>
      <w:r w:rsidRPr="002D09C3">
        <w:rPr>
          <w:rStyle w:val="Strong"/>
        </w:rPr>
        <w:t>66</w:t>
      </w:r>
    </w:p>
    <w:p w14:paraId="1C95622B" w14:textId="77777777" w:rsidR="00CE3613" w:rsidRPr="00EE3623" w:rsidRDefault="00E92602" w:rsidP="006C52C3">
      <w:pPr>
        <w:keepNext/>
      </w:pPr>
      <w:r w:rsidRPr="00EE3623">
        <w:rPr>
          <w:noProof/>
          <w:sz w:val="16"/>
          <w:szCs w:val="16"/>
        </w:rPr>
        <w:drawing>
          <wp:inline distT="0" distB="0" distL="0" distR="0" wp14:anchorId="63A98B43" wp14:editId="2857EC6E">
            <wp:extent cx="5400000" cy="4050000"/>
            <wp:effectExtent l="0" t="0" r="0" b="8255"/>
            <wp:docPr id="1750244227" name="Graphic 2" descr="Figure SA1 shows the ratio of age-specific fertility rates (ASFR) in Queensland to the national average for 2023–24 (observed and smoothed) and projections for 2065–66. The chart indicates higher fertility in Queensland among women under 30 compared to the national average, with the gap narrowing in projected rates for 20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44227" name="Graphic 2" descr="Figure SA1 shows the ratio of age-specific fertility rates (ASFR) in Queensland to the national average for 2023–24 (observed and smoothed) and projections for 2065–66. The chart indicates higher fertility in Queensland among women under 30 compared to the national average, with the gap narrowing in projected rates for 2065–66."/>
                    <pic:cNvPicPr/>
                  </pic:nvPicPr>
                  <pic:blipFill>
                    <a:blip r:embed="rId25">
                      <a:extLst>
                        <a:ext uri="{96DAC541-7B7A-43D3-8B79-37D633B846F1}">
                          <asvg:svgBlip xmlns:asvg="http://schemas.microsoft.com/office/drawing/2016/SVG/main" r:embed="rId26"/>
                        </a:ext>
                      </a:extLst>
                    </a:blip>
                    <a:stretch>
                      <a:fillRect/>
                    </a:stretch>
                  </pic:blipFill>
                  <pic:spPr>
                    <a:xfrm>
                      <a:off x="0" y="0"/>
                      <a:ext cx="5400000" cy="4050000"/>
                    </a:xfrm>
                    <a:prstGeom prst="rect">
                      <a:avLst/>
                    </a:prstGeom>
                  </pic:spPr>
                </pic:pic>
              </a:graphicData>
            </a:graphic>
          </wp:inline>
        </w:drawing>
      </w:r>
    </w:p>
    <w:p w14:paraId="5974AFDF" w14:textId="77777777" w:rsidR="001E7D7E" w:rsidRPr="00EE3623" w:rsidRDefault="001E7D7E">
      <w:pPr>
        <w:rPr>
          <w:rFonts w:asciiTheme="majorHAnsi" w:eastAsiaTheme="majorEastAsia" w:hAnsiTheme="majorHAnsi" w:cstheme="majorBidi"/>
          <w:color w:val="8E610A" w:themeColor="accent1" w:themeShade="BF"/>
          <w:sz w:val="28"/>
          <w:szCs w:val="28"/>
        </w:rPr>
      </w:pPr>
      <w:r w:rsidRPr="00EE3623">
        <w:br w:type="page"/>
      </w:r>
    </w:p>
    <w:p w14:paraId="5AF7EC7F" w14:textId="5F43C2E0" w:rsidR="00AF3634" w:rsidRPr="00EE3623" w:rsidRDefault="00AF3634" w:rsidP="00B1119B">
      <w:pPr>
        <w:pStyle w:val="Heading2"/>
      </w:pPr>
      <w:r w:rsidRPr="00EE3623">
        <w:lastRenderedPageBreak/>
        <w:t xml:space="preserve">Simpson’s </w:t>
      </w:r>
      <w:r w:rsidR="00D64366" w:rsidRPr="00EE3623">
        <w:t>P</w:t>
      </w:r>
      <w:r w:rsidRPr="00EE3623">
        <w:t xml:space="preserve">aradox </w:t>
      </w:r>
    </w:p>
    <w:p w14:paraId="5AF291B8" w14:textId="369C2412" w:rsidR="003A774E" w:rsidRPr="00EE3623" w:rsidRDefault="00A931BE" w:rsidP="00DE029A">
      <w:r w:rsidRPr="00EE3623">
        <w:t>I</w:t>
      </w:r>
      <w:r w:rsidR="00DE029A" w:rsidRPr="00EE3623">
        <w:t xml:space="preserve">n Table </w:t>
      </w:r>
      <w:r w:rsidRPr="00EE3623">
        <w:t>S2</w:t>
      </w:r>
      <w:r w:rsidR="00DE029A" w:rsidRPr="00EE3623">
        <w:t xml:space="preserve">, it was noted that the </w:t>
      </w:r>
      <w:r w:rsidR="00892349" w:rsidRPr="00EE3623">
        <w:t>TFR of the Northern Territory in 2022</w:t>
      </w:r>
      <w:r w:rsidR="0071623D" w:rsidRPr="0071623D">
        <w:t>–</w:t>
      </w:r>
      <w:r w:rsidR="00892349" w:rsidRPr="00EE3623">
        <w:t xml:space="preserve">23 was higher than the TFR of </w:t>
      </w:r>
      <w:r w:rsidRPr="00EE3623">
        <w:t>either su</w:t>
      </w:r>
      <w:r w:rsidR="00D64366" w:rsidRPr="00EE3623">
        <w:t>b</w:t>
      </w:r>
      <w:r w:rsidRPr="00EE3623">
        <w:t>-population of the</w:t>
      </w:r>
      <w:r w:rsidR="00892349" w:rsidRPr="00EE3623">
        <w:t xml:space="preserve"> </w:t>
      </w:r>
      <w:r w:rsidRPr="00EE3623">
        <w:t>T</w:t>
      </w:r>
      <w:r w:rsidR="00C73610" w:rsidRPr="00EE3623">
        <w:t>erritory when split into the two Greater Capital Statistical Areas of</w:t>
      </w:r>
      <w:r w:rsidR="0099119D" w:rsidRPr="00EE3623">
        <w:t>:</w:t>
      </w:r>
      <w:r w:rsidR="00C73610" w:rsidRPr="00EE3623">
        <w:t xml:space="preserve"> 1) Darwin</w:t>
      </w:r>
      <w:r w:rsidR="0099119D" w:rsidRPr="00EE3623">
        <w:t>;</w:t>
      </w:r>
      <w:r w:rsidR="00C73610" w:rsidRPr="00EE3623">
        <w:t xml:space="preserve"> </w:t>
      </w:r>
      <w:proofErr w:type="gramStart"/>
      <w:r w:rsidR="00C73610" w:rsidRPr="00EE3623">
        <w:t>and</w:t>
      </w:r>
      <w:r w:rsidR="0099119D" w:rsidRPr="00EE3623">
        <w:t>,</w:t>
      </w:r>
      <w:proofErr w:type="gramEnd"/>
      <w:r w:rsidR="00C73610" w:rsidRPr="00EE3623">
        <w:t xml:space="preserve"> 2) Res</w:t>
      </w:r>
      <w:r w:rsidR="00892349" w:rsidRPr="00EE3623">
        <w:t>t of the Northern Territory</w:t>
      </w:r>
      <w:r w:rsidR="00C73610" w:rsidRPr="00EE3623">
        <w:t xml:space="preserve">. </w:t>
      </w:r>
    </w:p>
    <w:p w14:paraId="46F37861" w14:textId="44D99E09" w:rsidR="001E7D7E" w:rsidRPr="00EE3623" w:rsidRDefault="001F0420" w:rsidP="00DE029A">
      <w:r w:rsidRPr="00EE3623">
        <w:t>This is an example of Simpson’s Paradox, a statistical phenomenon in which trends observed within sub-groups reverse or disappear when the groups are combined. In the context of total fertility rate (TFR), the paradox occurs when the aggregate TFR is either higher or lower than the TFRs of the individual sub-populations. As outlined by Lei (2012), while the aggregate TFR of two sub-populations (TFR</w:t>
      </w:r>
      <w:r w:rsidRPr="00EE3623">
        <w:rPr>
          <w:rFonts w:ascii="Cambria Math" w:hAnsi="Cambria Math" w:cs="Cambria Math"/>
        </w:rPr>
        <w:t>₁</w:t>
      </w:r>
      <w:r w:rsidRPr="00EE3623">
        <w:t>, TFR</w:t>
      </w:r>
      <w:r w:rsidRPr="00EE3623">
        <w:rPr>
          <w:rFonts w:ascii="Cambria Math" w:hAnsi="Cambria Math" w:cs="Cambria Math"/>
        </w:rPr>
        <w:t>₂</w:t>
      </w:r>
      <w:r w:rsidRPr="00EE3623">
        <w:t>) is theoretically a weighted average, it can range from 0 to TFR</w:t>
      </w:r>
      <w:r w:rsidRPr="00EE3623">
        <w:rPr>
          <w:rFonts w:ascii="Cambria Math" w:hAnsi="Cambria Math" w:cs="Cambria Math"/>
        </w:rPr>
        <w:t>₁</w:t>
      </w:r>
      <w:r w:rsidRPr="00EE3623">
        <w:t xml:space="preserve"> + TFR</w:t>
      </w:r>
      <w:r w:rsidRPr="00EE3623">
        <w:rPr>
          <w:rFonts w:ascii="Cambria Math" w:hAnsi="Cambria Math" w:cs="Cambria Math"/>
        </w:rPr>
        <w:t>₂</w:t>
      </w:r>
      <w:r w:rsidRPr="00EE3623">
        <w:t xml:space="preserve">. Depending on the shape of the age-specific fertility rate (ASFR) curves for each sub-population, and the proportion of the population at each age, the combined TFR can fall outside the range of both individual TFRs. In the Northern Territory, we see a unique case where the aggregate TFR is lower than either sub-group defined by the Greater Capital City Statistical Area. This is due to the </w:t>
      </w:r>
      <w:proofErr w:type="gramStart"/>
      <w:r w:rsidRPr="00EE3623">
        <w:t>particular shape</w:t>
      </w:r>
      <w:proofErr w:type="gramEnd"/>
      <w:r w:rsidRPr="00EE3623">
        <w:t xml:space="preserve"> of the ASFR curves, as illustrated in Figure SA2.</w:t>
      </w:r>
    </w:p>
    <w:p w14:paraId="1F8A41C7" w14:textId="61B1F678" w:rsidR="00CE3613" w:rsidRPr="002D09C3" w:rsidRDefault="00CE3613" w:rsidP="002D09C3">
      <w:pPr>
        <w:rPr>
          <w:rStyle w:val="Strong"/>
        </w:rPr>
      </w:pPr>
      <w:r w:rsidRPr="002D09C3">
        <w:rPr>
          <w:rStyle w:val="Strong"/>
        </w:rPr>
        <w:t>Figure</w:t>
      </w:r>
      <w:r w:rsidR="002D09C3" w:rsidRPr="002D09C3">
        <w:rPr>
          <w:rStyle w:val="Strong"/>
        </w:rPr>
        <w:t> </w:t>
      </w:r>
      <w:r w:rsidRPr="002D09C3">
        <w:rPr>
          <w:rStyle w:val="Strong"/>
        </w:rPr>
        <w:t>SA</w:t>
      </w:r>
      <w:r w:rsidR="00E73299" w:rsidRPr="002D09C3">
        <w:rPr>
          <w:rStyle w:val="Strong"/>
        </w:rPr>
        <w:fldChar w:fldCharType="begin"/>
      </w:r>
      <w:r w:rsidR="00E73299" w:rsidRPr="002D09C3">
        <w:rPr>
          <w:rStyle w:val="Strong"/>
        </w:rPr>
        <w:instrText xml:space="preserve"> SEQ Figure_SA \* ARABIC </w:instrText>
      </w:r>
      <w:r w:rsidR="00E73299" w:rsidRPr="002D09C3">
        <w:rPr>
          <w:rStyle w:val="Strong"/>
        </w:rPr>
        <w:fldChar w:fldCharType="separate"/>
      </w:r>
      <w:r w:rsidR="00E73299" w:rsidRPr="002D09C3">
        <w:rPr>
          <w:rStyle w:val="Strong"/>
        </w:rPr>
        <w:t>2</w:t>
      </w:r>
      <w:r w:rsidR="00E73299" w:rsidRPr="002D09C3">
        <w:rPr>
          <w:rStyle w:val="Strong"/>
        </w:rPr>
        <w:fldChar w:fldCharType="end"/>
      </w:r>
      <w:r w:rsidR="00B65990" w:rsidRPr="002D09C3">
        <w:rPr>
          <w:rStyle w:val="Strong"/>
        </w:rPr>
        <w:t>:</w:t>
      </w:r>
      <w:r w:rsidRPr="002D09C3">
        <w:rPr>
          <w:rStyle w:val="Strong"/>
        </w:rPr>
        <w:t xml:space="preserve"> </w:t>
      </w:r>
      <w:r w:rsidR="00190CE3" w:rsidRPr="002D09C3">
        <w:rPr>
          <w:rStyle w:val="Strong"/>
        </w:rPr>
        <w:t>C</w:t>
      </w:r>
      <w:r w:rsidRPr="002D09C3">
        <w:rPr>
          <w:rStyle w:val="Strong"/>
        </w:rPr>
        <w:t xml:space="preserve">omparison of </w:t>
      </w:r>
      <w:r w:rsidR="00190CE3" w:rsidRPr="002D09C3">
        <w:rPr>
          <w:rStyle w:val="Strong"/>
        </w:rPr>
        <w:t xml:space="preserve">age-specific fertility for </w:t>
      </w:r>
      <w:r w:rsidRPr="002D09C3">
        <w:rPr>
          <w:rStyle w:val="Strong"/>
        </w:rPr>
        <w:t>Northern Territory, Darwin and Rest of NT (2022</w:t>
      </w:r>
      <w:r w:rsidR="0071623D" w:rsidRPr="002D09C3">
        <w:rPr>
          <w:rStyle w:val="Strong"/>
        </w:rPr>
        <w:t>–</w:t>
      </w:r>
      <w:r w:rsidRPr="002D09C3">
        <w:rPr>
          <w:rStyle w:val="Strong"/>
        </w:rPr>
        <w:t>2023)</w:t>
      </w:r>
    </w:p>
    <w:p w14:paraId="5B51E324" w14:textId="1DD898B2" w:rsidR="00393C1E" w:rsidRPr="00EE3623" w:rsidRDefault="00393C1E" w:rsidP="00AF3634">
      <w:pPr>
        <w:spacing w:line="240" w:lineRule="atLeast"/>
        <w:rPr>
          <w:rFonts w:ascii="Aptos" w:eastAsia="Aptos" w:hAnsi="Aptos" w:cs="Aptos"/>
        </w:rPr>
      </w:pPr>
      <w:r w:rsidRPr="00EE3623">
        <w:rPr>
          <w:rFonts w:ascii="Aptos" w:eastAsia="Aptos" w:hAnsi="Aptos" w:cs="Aptos"/>
          <w:noProof/>
        </w:rPr>
        <w:drawing>
          <wp:inline distT="0" distB="0" distL="0" distR="0" wp14:anchorId="1966A508" wp14:editId="0E726745">
            <wp:extent cx="4844955" cy="2907083"/>
            <wp:effectExtent l="0" t="0" r="0" b="7620"/>
            <wp:docPr id="569533494" name="Graphic 2" descr="Line graph with three lines showing the age-specific fertility rates of the Northern Territory as a whole, for Darwin, and for the rest of the Northern Territory.  Fertility in Darwin is higher at ages 30-35, while in the rest of NT it is higher at the younger ages. The total NT line is an average of both sub-grou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533494" name="Graphic 2" descr="Line graph with three lines showing the age-specific fertility rates of the Northern Territory as a whole, for Darwin, and for the rest of the Northern Territory.  Fertility in Darwin is higher at ages 30-35, while in the rest of NT it is higher at the younger ages. The total NT line is an average of both sub-groups. "/>
                    <pic:cNvPicPr/>
                  </pic:nvPicPr>
                  <pic:blipFill>
                    <a:blip r:embed="rId27">
                      <a:extLst>
                        <a:ext uri="{96DAC541-7B7A-43D3-8B79-37D633B846F1}">
                          <asvg:svgBlip xmlns:asvg="http://schemas.microsoft.com/office/drawing/2016/SVG/main" r:embed="rId28"/>
                        </a:ext>
                      </a:extLst>
                    </a:blip>
                    <a:stretch>
                      <a:fillRect/>
                    </a:stretch>
                  </pic:blipFill>
                  <pic:spPr>
                    <a:xfrm>
                      <a:off x="0" y="0"/>
                      <a:ext cx="4846523" cy="2908024"/>
                    </a:xfrm>
                    <a:prstGeom prst="rect">
                      <a:avLst/>
                    </a:prstGeom>
                  </pic:spPr>
                </pic:pic>
              </a:graphicData>
            </a:graphic>
          </wp:inline>
        </w:drawing>
      </w:r>
    </w:p>
    <w:p w14:paraId="51B7985F" w14:textId="6B909FB3" w:rsidR="00AF3634" w:rsidRPr="00EE3623" w:rsidRDefault="00190CE3" w:rsidP="001A446B">
      <w:pPr>
        <w:pStyle w:val="Source"/>
      </w:pPr>
      <w:r w:rsidRPr="00EE3623">
        <w:t xml:space="preserve">Source: Data provided by Centre for Population. </w:t>
      </w:r>
    </w:p>
    <w:p w14:paraId="312D429C" w14:textId="77777777" w:rsidR="001E7D7E" w:rsidRPr="00EE3623" w:rsidRDefault="001E7D7E">
      <w:pPr>
        <w:rPr>
          <w:rFonts w:asciiTheme="majorHAnsi" w:eastAsiaTheme="majorEastAsia" w:hAnsiTheme="majorHAnsi" w:cstheme="majorBidi"/>
          <w:color w:val="8E610A" w:themeColor="accent1" w:themeShade="BF"/>
          <w:sz w:val="28"/>
          <w:szCs w:val="28"/>
        </w:rPr>
      </w:pPr>
      <w:r w:rsidRPr="00EE3623">
        <w:br w:type="page"/>
      </w:r>
    </w:p>
    <w:p w14:paraId="6E4CEDB9" w14:textId="2986BDD4" w:rsidR="00F42CA5" w:rsidRPr="00EE3623" w:rsidRDefault="00F42CA5" w:rsidP="00B1119B">
      <w:pPr>
        <w:pStyle w:val="Heading2"/>
      </w:pPr>
      <w:r w:rsidRPr="00EE3623">
        <w:lastRenderedPageBreak/>
        <w:t>Calculation of fertility rates for Aboriginal and/or Torres Strait Islander women</w:t>
      </w:r>
    </w:p>
    <w:p w14:paraId="52D93A78" w14:textId="627FFF9B" w:rsidR="009A51ED" w:rsidRPr="00B47245" w:rsidRDefault="009A51ED" w:rsidP="00B47245">
      <w:pPr>
        <w:pStyle w:val="Heading3"/>
      </w:pPr>
      <w:r w:rsidRPr="00B47245">
        <w:t>Numerator: Births</w:t>
      </w:r>
      <w:r w:rsidR="006B0D38" w:rsidRPr="00B47245">
        <w:t xml:space="preserve"> </w:t>
      </w:r>
      <w:r w:rsidRPr="00B47245">
        <w:t>to women who identify as Aboriginal and/or Torres</w:t>
      </w:r>
      <w:r w:rsidR="0002072D">
        <w:t> </w:t>
      </w:r>
      <w:r w:rsidRPr="00B47245">
        <w:t>Strait Islander</w:t>
      </w:r>
      <w:r w:rsidR="006B0D38" w:rsidRPr="00B47245">
        <w:t>, by</w:t>
      </w:r>
      <w:r w:rsidR="00886086" w:rsidRPr="00B47245">
        <w:t> </w:t>
      </w:r>
      <w:r w:rsidR="006B0D38" w:rsidRPr="00B47245">
        <w:t>age</w:t>
      </w:r>
      <w:r w:rsidR="00886086" w:rsidRPr="00B47245">
        <w:t> </w:t>
      </w:r>
      <w:r w:rsidR="006B0D38" w:rsidRPr="00B47245">
        <w:t>group</w:t>
      </w:r>
    </w:p>
    <w:p w14:paraId="2B1F8896" w14:textId="2695FDB4" w:rsidR="006B0D38" w:rsidRPr="00EE3623" w:rsidRDefault="006B0D38" w:rsidP="00F42CA5">
      <w:r w:rsidRPr="00EE3623">
        <w:t xml:space="preserve">Births to women who identify as Aboriginal and/or Torres Strait Islander were calculated based on </w:t>
      </w:r>
      <w:r w:rsidR="00CA6D2C" w:rsidRPr="00EE3623">
        <w:t xml:space="preserve">1) </w:t>
      </w:r>
      <w:r w:rsidRPr="00EE3623">
        <w:t xml:space="preserve">data of the number of mothers by age, and </w:t>
      </w:r>
      <w:r w:rsidR="00CA6D2C" w:rsidRPr="00EE3623">
        <w:t xml:space="preserve">2) </w:t>
      </w:r>
      <w:r w:rsidRPr="00EE3623">
        <w:t>the total number of births.</w:t>
      </w:r>
    </w:p>
    <w:p w14:paraId="74CF304F" w14:textId="5E9AD692" w:rsidR="00C326A4" w:rsidRPr="00EE3623" w:rsidRDefault="00772658" w:rsidP="00DD20D0">
      <w:r w:rsidRPr="00EE3623">
        <w:t>Data on the number of mothers who identify as Aboriginal or Torres Strait Islander was available from the AIHW (2023) in 5-year age groups</w:t>
      </w:r>
      <w:r w:rsidR="00190CE3" w:rsidRPr="00EE3623">
        <w:t xml:space="preserve"> for years up to </w:t>
      </w:r>
      <w:r w:rsidR="001116AB" w:rsidRPr="00EE3623">
        <w:t>and</w:t>
      </w:r>
      <w:r w:rsidR="00190CE3" w:rsidRPr="00EE3623">
        <w:t xml:space="preserve"> including 2022</w:t>
      </w:r>
      <w:r w:rsidRPr="00EE3623">
        <w:t>. The top age group in the AIHW data was coded as 40+ years of age</w:t>
      </w:r>
      <w:r w:rsidR="00CA6D2C" w:rsidRPr="00EE3623">
        <w:t xml:space="preserve">. To maintain consistency with other areas of the report where the highest age group </w:t>
      </w:r>
      <w:r w:rsidR="005F3135" w:rsidRPr="00EE3623">
        <w:t>is</w:t>
      </w:r>
      <w:r w:rsidR="00CA6D2C" w:rsidRPr="00EE3623">
        <w:t xml:space="preserve"> calculated as 45</w:t>
      </w:r>
      <w:r w:rsidR="0071623D" w:rsidRPr="0071623D">
        <w:t>–</w:t>
      </w:r>
      <w:r w:rsidR="00CA6D2C" w:rsidRPr="00EE3623">
        <w:t xml:space="preserve">49, we </w:t>
      </w:r>
      <w:r w:rsidR="00C326A4" w:rsidRPr="00EE3623">
        <w:t>separated</w:t>
      </w:r>
      <w:r w:rsidR="00CA6D2C" w:rsidRPr="00EE3623">
        <w:t xml:space="preserve"> the total mothers recorded at age 40 and over into 95.4% as aged 40</w:t>
      </w:r>
      <w:r w:rsidR="0071623D" w:rsidRPr="0071623D">
        <w:t>–</w:t>
      </w:r>
      <w:r w:rsidR="00CA6D2C" w:rsidRPr="00EE3623">
        <w:t>44 and 4.6% as aged 45</w:t>
      </w:r>
      <w:r w:rsidR="0071623D" w:rsidRPr="0071623D">
        <w:t>–</w:t>
      </w:r>
      <w:r w:rsidR="00CA6D2C" w:rsidRPr="00EE3623">
        <w:t xml:space="preserve">49. This ratio was derived from examining the ratio of births to mothers who identified as Aboriginal </w:t>
      </w:r>
      <w:r w:rsidR="00F51DC1" w:rsidRPr="00EE3623">
        <w:t>and/or Torres</w:t>
      </w:r>
      <w:r w:rsidR="00CA6D2C" w:rsidRPr="00EE3623">
        <w:t xml:space="preserve"> Strait Islander in the ABS birth registration data, averaged over </w:t>
      </w:r>
      <w:r w:rsidR="00C326A4" w:rsidRPr="00EE3623">
        <w:t xml:space="preserve">the </w:t>
      </w:r>
      <w:r w:rsidR="00CA6D2C" w:rsidRPr="00EE3623">
        <w:t xml:space="preserve">2003 to 2023 period. </w:t>
      </w:r>
    </w:p>
    <w:p w14:paraId="7EDA10D2" w14:textId="4B7D37C4" w:rsidR="00DD20D0" w:rsidRPr="00EE3623" w:rsidRDefault="00DD20D0" w:rsidP="00DD20D0">
      <w:r w:rsidRPr="00EE3623">
        <w:t>The number of mothers in any year is not the same as the number of births, as women can have multiple births. In 2012</w:t>
      </w:r>
      <w:r w:rsidR="0041394B" w:rsidRPr="00EE3623">
        <w:t>,</w:t>
      </w:r>
      <w:r w:rsidRPr="00EE3623">
        <w:t xml:space="preserve"> </w:t>
      </w:r>
      <w:r w:rsidR="0041394B" w:rsidRPr="00EE3623">
        <w:t xml:space="preserve">12,286 </w:t>
      </w:r>
      <w:r w:rsidR="00FA3DAB" w:rsidRPr="00EE3623">
        <w:t>women who gave birth</w:t>
      </w:r>
      <w:r w:rsidR="0041394B" w:rsidRPr="00EE3623">
        <w:t xml:space="preserve"> were</w:t>
      </w:r>
      <w:r w:rsidRPr="00EE3623">
        <w:t xml:space="preserve"> Aboriginal or Torres Strait Islander. The total number of mothers </w:t>
      </w:r>
      <w:r w:rsidR="00684F83" w:rsidRPr="00EE3623">
        <w:t>in</w:t>
      </w:r>
      <w:r w:rsidRPr="00EE3623">
        <w:t xml:space="preserve"> each group was then multiplied by the total number of babies born to mothers who were Aboriginal or Torres Strait Islander, assuming no age difference in plurality. </w:t>
      </w:r>
    </w:p>
    <w:p w14:paraId="1CAA89AD" w14:textId="42D8C860" w:rsidR="00DD20D0" w:rsidRPr="00EE3623" w:rsidRDefault="00DD20D0" w:rsidP="00DD20D0">
      <w:r w:rsidRPr="00EE3623">
        <w:t>In the same year</w:t>
      </w:r>
      <w:r w:rsidR="001116AB" w:rsidRPr="00EE3623">
        <w:t>,</w:t>
      </w:r>
      <w:r w:rsidRPr="00EE3623">
        <w:t xml:space="preserve"> there were 12,454 births recorded to mothers who were Aboriginal or Torres Strait Islander. This gives a ratio of births to mothers of 1.0137. </w:t>
      </w:r>
    </w:p>
    <w:p w14:paraId="55707296" w14:textId="548A9579" w:rsidR="00DD20D0" w:rsidRPr="00EE3623" w:rsidRDefault="00DD20D0" w:rsidP="00DD20D0">
      <w:r w:rsidRPr="00EE3623">
        <w:t xml:space="preserve">Using the simplifying assumption that this ratio is the same across all age groups, we apply the ratio to all age groups to derive the births by </w:t>
      </w:r>
      <w:r w:rsidR="00FD0E6D" w:rsidRPr="00EE3623">
        <w:t>mothers'</w:t>
      </w:r>
      <w:r w:rsidRPr="00EE3623">
        <w:t xml:space="preserve"> age. For example, in 2012</w:t>
      </w:r>
      <w:r w:rsidR="00FD0E6D" w:rsidRPr="00EE3623">
        <w:t>,</w:t>
      </w:r>
      <w:r w:rsidRPr="00EE3623">
        <w:t xml:space="preserve"> there were 4,037 mothers aged 20</w:t>
      </w:r>
      <w:r w:rsidR="0071623D" w:rsidRPr="0071623D">
        <w:t>–</w:t>
      </w:r>
      <w:r w:rsidRPr="00EE3623">
        <w:t xml:space="preserve">24. The number of births </w:t>
      </w:r>
      <w:r w:rsidR="00F0159A" w:rsidRPr="00EE3623">
        <w:t>at age 20</w:t>
      </w:r>
      <w:r w:rsidR="0071623D" w:rsidRPr="0071623D">
        <w:t>–</w:t>
      </w:r>
      <w:r w:rsidR="00F0159A" w:rsidRPr="00EE3623">
        <w:t xml:space="preserve">24 was </w:t>
      </w:r>
      <w:r w:rsidRPr="00EE3623">
        <w:t xml:space="preserve">calculated as 4,037*1.0137=4,456 </w:t>
      </w:r>
    </w:p>
    <w:p w14:paraId="30C742AC" w14:textId="64A08326" w:rsidR="00F42CA5" w:rsidRPr="00EE3623" w:rsidRDefault="00F42CA5" w:rsidP="00F42CA5">
      <w:r w:rsidRPr="00EE3623">
        <w:t>For the denominator of the fertility rates</w:t>
      </w:r>
      <w:r w:rsidR="00986CDD">
        <w:t xml:space="preserve"> </w:t>
      </w:r>
      <w:r w:rsidR="00886086">
        <w:t>–</w:t>
      </w:r>
      <w:r w:rsidR="00986CDD">
        <w:t xml:space="preserve"> </w:t>
      </w:r>
      <w:r w:rsidRPr="00EE3623">
        <w:t>the number of women by age who identify as Aboriginal or Torres Strait Islander</w:t>
      </w:r>
      <w:r w:rsidR="00986CDD">
        <w:t xml:space="preserve"> – </w:t>
      </w:r>
      <w:r w:rsidRPr="00EE3623">
        <w:t>we used the ERP estimates published by the ABS (2024b) which are based on the 2021 Census and back-cast annually from 2011 to 2021 and projected forward to 2031. The ABS ERP estimates give us a consistent denominator for 2011 to 2022</w:t>
      </w:r>
      <w:r w:rsidR="00190CE3" w:rsidRPr="00EE3623">
        <w:t>, which is the last available year for which data on births from the AIHW was available</w:t>
      </w:r>
      <w:r w:rsidRPr="00EE3623">
        <w:t xml:space="preserve">. While a longer time series would have been advantageous, we prefer to keep the source of the denominator the same because as Carmichael (2019) noted, fertility levels for Aboriginal </w:t>
      </w:r>
      <w:r w:rsidR="00F51DC1" w:rsidRPr="00EE3623">
        <w:t>and/or Torres</w:t>
      </w:r>
      <w:r w:rsidRPr="00EE3623">
        <w:t xml:space="preserve"> Strait Islander people often change significantly when the population is rebased to a different Census or when birth registrations are corrected for</w:t>
      </w:r>
      <w:r w:rsidR="00886086">
        <w:t> </w:t>
      </w:r>
      <w:r w:rsidRPr="00EE3623">
        <w:t>errors.</w:t>
      </w:r>
    </w:p>
    <w:p w14:paraId="04301CD9" w14:textId="5C43EEA1" w:rsidR="00772658" w:rsidRPr="00EE3623" w:rsidRDefault="00772658" w:rsidP="00772658">
      <w:r w:rsidRPr="00EE3623">
        <w:t xml:space="preserve">We chose to reconstruct historical fertility rates using these data rather than use the </w:t>
      </w:r>
      <w:r w:rsidR="00AF3634" w:rsidRPr="00EE3623">
        <w:t>already</w:t>
      </w:r>
      <w:r w:rsidRPr="00EE3623">
        <w:t xml:space="preserve"> calculated estimates of Aboriginal </w:t>
      </w:r>
      <w:r w:rsidR="00F51DC1" w:rsidRPr="00EE3623">
        <w:t>and/or Torres</w:t>
      </w:r>
      <w:r w:rsidRPr="00EE3623">
        <w:t xml:space="preserve"> Strait Islander fertility rates published by the Australian Bureau of Statistics (ABS). This choice was</w:t>
      </w:r>
      <w:r w:rsidR="00B417D3" w:rsidRPr="00EE3623">
        <w:t xml:space="preserve"> </w:t>
      </w:r>
      <w:r w:rsidR="00F54BB2" w:rsidRPr="00EE3623">
        <w:t xml:space="preserve">made on the basis that </w:t>
      </w:r>
      <w:r w:rsidRPr="00EE3623">
        <w:t xml:space="preserve">fertility rates </w:t>
      </w:r>
      <w:r w:rsidR="00F54BB2" w:rsidRPr="00EE3623">
        <w:t xml:space="preserve">calculated by the ABS </w:t>
      </w:r>
      <w:r w:rsidRPr="00EE3623">
        <w:t>are based on birth registration data which historically</w:t>
      </w:r>
      <w:r w:rsidR="00F54BB2" w:rsidRPr="00EE3623">
        <w:t xml:space="preserve"> </w:t>
      </w:r>
      <w:r w:rsidRPr="00EE3623">
        <w:t xml:space="preserve">have </w:t>
      </w:r>
      <w:r w:rsidR="001E7D7E" w:rsidRPr="00EE3623">
        <w:t>been affected</w:t>
      </w:r>
      <w:r w:rsidRPr="00EE3623">
        <w:t xml:space="preserve"> by registration issues</w:t>
      </w:r>
      <w:r w:rsidR="0056329F" w:rsidRPr="00EE3623">
        <w:t xml:space="preserve">, including lags and subsequent </w:t>
      </w:r>
      <w:proofErr w:type="gramStart"/>
      <w:r w:rsidR="0056329F" w:rsidRPr="00EE3623">
        <w:t>catch-ups</w:t>
      </w:r>
      <w:proofErr w:type="gramEnd"/>
      <w:r w:rsidR="0056329F" w:rsidRPr="00EE3623">
        <w:t xml:space="preserve"> in registration, </w:t>
      </w:r>
      <w:r w:rsidRPr="00EE3623">
        <w:t xml:space="preserve">which have led to fluctuations in observed fertility patterns. The volatility of the ABS registration data compared to the data from the AIHW perinatal data is shown in Figure </w:t>
      </w:r>
      <w:r w:rsidR="000A0B9A" w:rsidRPr="00EE3623">
        <w:t>SA3</w:t>
      </w:r>
      <w:r w:rsidRPr="00EE3623">
        <w:t>. The AIHW</w:t>
      </w:r>
      <w:r w:rsidR="000A0B9A" w:rsidRPr="00EE3623">
        <w:t xml:space="preserve"> perinatal</w:t>
      </w:r>
      <w:r w:rsidRPr="00EE3623">
        <w:t xml:space="preserve"> data provided a more stable time series, </w:t>
      </w:r>
      <w:r w:rsidR="001E7D7E" w:rsidRPr="00EE3623">
        <w:t>and</w:t>
      </w:r>
      <w:r w:rsidRPr="00EE3623">
        <w:t xml:space="preserve"> the ABS </w:t>
      </w:r>
      <w:r w:rsidR="001E7D7E" w:rsidRPr="00EE3623">
        <w:t xml:space="preserve">itself </w:t>
      </w:r>
      <w:r w:rsidRPr="00EE3623">
        <w:t xml:space="preserve">cautions against detailed comparisons of annual trends in births to Aboriginal </w:t>
      </w:r>
      <w:r w:rsidR="00F51DC1" w:rsidRPr="00EE3623">
        <w:t>and/or Torres</w:t>
      </w:r>
      <w:r w:rsidRPr="00EE3623">
        <w:t xml:space="preserve"> Strait Islander women</w:t>
      </w:r>
      <w:r w:rsidR="001E7D7E" w:rsidRPr="00EE3623">
        <w:t xml:space="preserve"> using registration data </w:t>
      </w:r>
      <w:r w:rsidRPr="00EE3623">
        <w:t xml:space="preserve">(ABS 2024a). </w:t>
      </w:r>
    </w:p>
    <w:p w14:paraId="422B8E13" w14:textId="74D6DC5B" w:rsidR="00E73299" w:rsidRPr="002D09C3" w:rsidRDefault="00E73299" w:rsidP="002D09C3">
      <w:pPr>
        <w:keepNext/>
        <w:rPr>
          <w:rStyle w:val="Strong"/>
        </w:rPr>
      </w:pPr>
      <w:r w:rsidRPr="002D09C3">
        <w:rPr>
          <w:rStyle w:val="Strong"/>
        </w:rPr>
        <w:lastRenderedPageBreak/>
        <w:t>Figure</w:t>
      </w:r>
      <w:r w:rsidR="00886086" w:rsidRPr="002D09C3">
        <w:rPr>
          <w:rStyle w:val="Strong"/>
        </w:rPr>
        <w:t> </w:t>
      </w:r>
      <w:r w:rsidRPr="002D09C3">
        <w:rPr>
          <w:rStyle w:val="Strong"/>
        </w:rPr>
        <w:t>SA</w:t>
      </w:r>
      <w:r w:rsidRPr="002D09C3">
        <w:rPr>
          <w:rStyle w:val="Strong"/>
        </w:rPr>
        <w:fldChar w:fldCharType="begin"/>
      </w:r>
      <w:r w:rsidRPr="002D09C3">
        <w:rPr>
          <w:rStyle w:val="Strong"/>
        </w:rPr>
        <w:instrText xml:space="preserve"> SEQ Figure_SA \* ARABIC </w:instrText>
      </w:r>
      <w:r w:rsidRPr="002D09C3">
        <w:rPr>
          <w:rStyle w:val="Strong"/>
        </w:rPr>
        <w:fldChar w:fldCharType="separate"/>
      </w:r>
      <w:r w:rsidRPr="002D09C3">
        <w:rPr>
          <w:rStyle w:val="Strong"/>
        </w:rPr>
        <w:t>3</w:t>
      </w:r>
      <w:r w:rsidRPr="002D09C3">
        <w:rPr>
          <w:rStyle w:val="Strong"/>
        </w:rPr>
        <w:fldChar w:fldCharType="end"/>
      </w:r>
      <w:r w:rsidRPr="002D09C3">
        <w:rPr>
          <w:rStyle w:val="Strong"/>
        </w:rPr>
        <w:t>: Comparison of number of estimated births to Aboriginal or Torres Strait Islander mothers recorded by birth registration database (ABS) and perinatal statistics database (AIHW)</w:t>
      </w:r>
    </w:p>
    <w:p w14:paraId="125FF0FA" w14:textId="5E3AAAC3" w:rsidR="00772658" w:rsidRPr="00EE3623" w:rsidRDefault="006208C7" w:rsidP="00C153CA">
      <w:pPr>
        <w:pStyle w:val="Caption"/>
        <w:rPr>
          <w:highlight w:val="yellow"/>
        </w:rPr>
      </w:pPr>
      <w:r w:rsidRPr="00EE3623">
        <w:rPr>
          <w:noProof/>
        </w:rPr>
        <w:drawing>
          <wp:inline distT="0" distB="0" distL="0" distR="0" wp14:anchorId="0BB5E577" wp14:editId="6FAED7C0">
            <wp:extent cx="5580380" cy="3345180"/>
            <wp:effectExtent l="0" t="0" r="1270" b="7620"/>
            <wp:docPr id="600095769" name="Picture 2" descr="Line graph with two lines showing the estimated births as reported by the ABS and AIHW. On the x-axis the graph goes from the year 2000 up to 2025 and the y-axis has births starting from 8,000 to 18,000. Both AIHW and ABS births increase over time and both lines are close to each other overall. However the AIHW (orange) line is more stable over time while the ABS line (black) fluctuates more year on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95769" name="Picture 2" descr="Line graph with two lines showing the estimated births as reported by the ABS and AIHW. On the x-axis the graph goes from the year 2000 up to 2025 and the y-axis has births starting from 8,000 to 18,000. Both AIHW and ABS births increase over time and both lines are close to each other overall. However the AIHW (orange) line is more stable over time while the ABS line (black) fluctuates more year on year. "/>
                    <pic:cNvPicPr/>
                  </pic:nvPicPr>
                  <pic:blipFill>
                    <a:blip r:embed="rId29"/>
                    <a:stretch>
                      <a:fillRect/>
                    </a:stretch>
                  </pic:blipFill>
                  <pic:spPr>
                    <a:xfrm>
                      <a:off x="0" y="0"/>
                      <a:ext cx="5580380" cy="3345180"/>
                    </a:xfrm>
                    <a:prstGeom prst="rect">
                      <a:avLst/>
                    </a:prstGeom>
                  </pic:spPr>
                </pic:pic>
              </a:graphicData>
            </a:graphic>
          </wp:inline>
        </w:drawing>
      </w:r>
    </w:p>
    <w:p w14:paraId="3FA0CC53" w14:textId="7B2C614D" w:rsidR="00772658" w:rsidRPr="00AE51F2" w:rsidRDefault="00772658" w:rsidP="001A446B">
      <w:pPr>
        <w:pStyle w:val="Source"/>
      </w:pPr>
      <w:r w:rsidRPr="00EE3623">
        <w:t xml:space="preserve">Source: </w:t>
      </w:r>
      <w:r w:rsidR="00487250" w:rsidRPr="00EE3623">
        <w:t xml:space="preserve">Australian Bureau of Statistics </w:t>
      </w:r>
      <w:r w:rsidRPr="00EE3623">
        <w:t>(2025)</w:t>
      </w:r>
      <w:r w:rsidR="00487250" w:rsidRPr="00EE3623">
        <w:t xml:space="preserve"> and Australian Institute of Health and Welfare </w:t>
      </w:r>
      <w:r w:rsidRPr="00EE3623">
        <w:t>(2023)</w:t>
      </w:r>
      <w:r w:rsidR="00361768" w:rsidRPr="00EE3623">
        <w:t>.</w:t>
      </w:r>
    </w:p>
    <w:sectPr w:rsidR="00772658" w:rsidRPr="00AE51F2" w:rsidSect="007D74BE">
      <w:headerReference w:type="default" r:id="rId30"/>
      <w:footerReference w:type="default" r:id="rId31"/>
      <w:headerReference w:type="first" r:id="rId32"/>
      <w:footerReference w:type="first" r:id="rId33"/>
      <w:endnotePr>
        <w:numFmt w:val="decimal"/>
      </w:endnotePr>
      <w:pgSz w:w="11906" w:h="16838" w:code="9"/>
      <w:pgMar w:top="1134" w:right="1247" w:bottom="1134" w:left="1871" w:header="369"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63DB" w14:textId="77777777" w:rsidR="006B409A" w:rsidRPr="00EE3623" w:rsidRDefault="006B409A" w:rsidP="00830E75">
      <w:r w:rsidRPr="00EE3623">
        <w:t>Endnotes</w:t>
      </w:r>
    </w:p>
  </w:endnote>
  <w:endnote w:type="continuationSeparator" w:id="0">
    <w:p w14:paraId="0EC87419" w14:textId="77777777" w:rsidR="006B409A" w:rsidRPr="00EE3623" w:rsidRDefault="006B409A" w:rsidP="00830E75">
      <w:r w:rsidRPr="00EE36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ublic Sans">
    <w:altName w:val="Calibri"/>
    <w:charset w:val="00"/>
    <w:family w:val="auto"/>
    <w:pitch w:val="variable"/>
    <w:sig w:usb0="A00000FF" w:usb1="4000205B" w:usb2="00000000" w:usb3="00000000" w:csb0="00000193" w:csb1="00000000"/>
    <w:embedRegular r:id="rId1" w:fontKey="{151F4092-9C39-4047-8B2B-CB4477CBF8FC}"/>
    <w:embedBold r:id="rId2" w:fontKey="{CE792720-12E2-4515-9E30-9B745FC47161}"/>
    <w:embedItalic r:id="rId3" w:fontKey="{8C928DD7-45F5-44B4-844B-9F0488A25FF6}"/>
    <w:embedBoldItalic r:id="rId4" w:fontKey="{174B3BF6-C16C-424D-9D15-84CD3916B4F4}"/>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altName w:val="Calibri"/>
    <w:charset w:val="00"/>
    <w:family w:val="auto"/>
    <w:pitch w:val="variable"/>
    <w:sig w:usb0="A00000FF" w:usb1="4000205B" w:usb2="00000000" w:usb3="00000000" w:csb0="00000193" w:csb1="00000000"/>
    <w:embedRegular r:id="rId5" w:fontKey="{820A976A-A321-4BD7-A912-5860DDE1CE2A}"/>
    <w:embedBold r:id="rId6" w:fontKey="{177BC49B-E399-477D-9100-E4D1B94BEB6C}"/>
    <w:embedItalic r:id="rId7" w:fontKey="{C29B400C-6681-495F-A124-A95AF2C95327}"/>
    <w:embedBoldItalic r:id="rId8" w:fontKey="{5D21A57A-356E-4464-87EF-D6F3E26E0F22}"/>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4B0FED87-2306-458B-9588-A920BBE123C5}"/>
  </w:font>
  <w:font w:name="Lucida Grande">
    <w:altName w:val="Courier New"/>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embedRegular r:id="rId10" w:fontKey="{5C66D0D4-A339-4F47-90CA-C4EAE75568AB}"/>
  </w:font>
  <w:font w:name="Consolas">
    <w:panose1 w:val="020B0609020204030204"/>
    <w:charset w:val="00"/>
    <w:family w:val="modern"/>
    <w:pitch w:val="fixed"/>
    <w:sig w:usb0="E00006FF" w:usb1="0000FCFF" w:usb2="00000001" w:usb3="00000000" w:csb0="0000019F" w:csb1="00000000"/>
    <w:embedRegular r:id="rId11" w:fontKey="{C81CFE34-FD4E-4AA4-A703-A06AA1A0392F}"/>
  </w:font>
  <w:font w:name="Public Sans SemiBold">
    <w:charset w:val="00"/>
    <w:family w:val="auto"/>
    <w:pitch w:val="variable"/>
    <w:sig w:usb0="A00000FF" w:usb1="4000205B" w:usb2="00000000" w:usb3="00000000" w:csb0="00000193" w:csb1="00000000"/>
    <w:embedRegular r:id="rId12" w:fontKey="{853B873F-595B-4CB8-9BBE-6E2F5CED6F69}"/>
    <w:embedBold r:id="rId13" w:fontKey="{C183BE87-3F32-4E27-AF55-E8D682ECD6B9}"/>
  </w:font>
  <w:font w:name="Calibri">
    <w:panose1 w:val="020F0502020204030204"/>
    <w:charset w:val="00"/>
    <w:family w:val="swiss"/>
    <w:pitch w:val="variable"/>
    <w:sig w:usb0="E4002EFF" w:usb1="C200247B" w:usb2="00000009" w:usb3="00000000" w:csb0="000001FF" w:csb1="00000000"/>
    <w:embedRegular r:id="rId14" w:fontKey="{966E8A6E-67FF-4A3A-BCC1-86B1AE9F137B}"/>
    <w:embedBold r:id="rId15" w:fontKey="{0E2A72D8-3638-446E-B408-E9A6ECC8F38A}"/>
    <w:embedItalic r:id="rId16" w:fontKey="{FC126D63-54BA-47C4-B3DB-DCDA8CE87A0E}"/>
  </w:font>
  <w:font w:name="Aptos">
    <w:charset w:val="00"/>
    <w:family w:val="swiss"/>
    <w:pitch w:val="variable"/>
    <w:sig w:usb0="20000287" w:usb1="00000003" w:usb2="00000000" w:usb3="00000000" w:csb0="0000019F" w:csb1="00000000"/>
    <w:embedRegular r:id="rId17" w:fontKey="{CEAC94A2-93A4-45FD-8079-9DDD247C65FA}"/>
    <w:embedItalic r:id="rId18" w:fontKey="{905F9F29-3BFB-49DC-B9AD-502A51F97C15}"/>
  </w:font>
  <w:font w:name="Open Sans">
    <w:charset w:val="00"/>
    <w:family w:val="swiss"/>
    <w:pitch w:val="variable"/>
    <w:sig w:usb0="E00002EF" w:usb1="4000205B" w:usb2="00000028" w:usb3="00000000" w:csb0="0000019F" w:csb1="00000000"/>
    <w:embedRegular r:id="rId19" w:fontKey="{2DFB0F10-01E1-4014-AAFB-0EEB60B97FEC}"/>
  </w:font>
  <w:font w:name="Cambria Math">
    <w:panose1 w:val="02040503050406030204"/>
    <w:charset w:val="00"/>
    <w:family w:val="roman"/>
    <w:pitch w:val="variable"/>
    <w:sig w:usb0="E00006FF" w:usb1="420024FF" w:usb2="02000000" w:usb3="00000000" w:csb0="0000019F" w:csb1="00000000"/>
    <w:embedRegular r:id="rId20" w:fontKey="{31E3106A-72DB-4C7C-9443-C61DCF5FC7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2A11" w14:textId="77777777" w:rsidR="00095FCC" w:rsidRDefault="00095F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8505"/>
      <w:gridCol w:w="283"/>
    </w:tblGrid>
    <w:tr w:rsidR="00BB64CC" w14:paraId="188093C8" w14:textId="77777777" w:rsidTr="004E78D5">
      <w:trPr>
        <w:trHeight w:val="283"/>
      </w:trPr>
      <w:tc>
        <w:tcPr>
          <w:tcW w:w="8505" w:type="dxa"/>
          <w:vAlign w:val="bottom"/>
        </w:tcPr>
        <w:p w14:paraId="16CC347D" w14:textId="77777777" w:rsidR="00BB64CC" w:rsidRPr="006A6CD8" w:rsidRDefault="00BB64CC" w:rsidP="00BB64CC">
          <w:pPr>
            <w:pStyle w:val="Footer"/>
            <w:rPr>
              <w:sz w:val="18"/>
              <w:szCs w:val="18"/>
            </w:rPr>
          </w:pPr>
          <w:r w:rsidRPr="006A6CD8">
            <w:rPr>
              <w:sz w:val="18"/>
              <w:szCs w:val="18"/>
            </w:rPr>
            <w:t xml:space="preserve">The Australian National University | </w:t>
          </w:r>
          <w:r w:rsidRPr="006A6CD8">
            <w:rPr>
              <w:i/>
              <w:iCs/>
              <w:sz w:val="18"/>
              <w:szCs w:val="18"/>
            </w:rPr>
            <w:t>Past trends and potential futures – projecting Australian fertility</w:t>
          </w:r>
        </w:p>
      </w:tc>
      <w:tc>
        <w:tcPr>
          <w:tcW w:w="283" w:type="dxa"/>
          <w:tcMar>
            <w:right w:w="28" w:type="dxa"/>
          </w:tcMar>
        </w:tcPr>
        <w:p w14:paraId="33066C96" w14:textId="77777777" w:rsidR="00BB64CC" w:rsidRDefault="00BB64CC" w:rsidP="00BB64CC">
          <w:pPr>
            <w:pStyle w:val="Footer"/>
            <w:jc w:val="right"/>
          </w:pPr>
          <w:r>
            <w:fldChar w:fldCharType="begin"/>
          </w:r>
          <w:r w:rsidRPr="00827AE7">
            <w:instrText xml:space="preserve"> PAGE   \* MERGEFORMAT </w:instrText>
          </w:r>
          <w:r>
            <w:fldChar w:fldCharType="separate"/>
          </w:r>
          <w:r>
            <w:rPr>
              <w:noProof/>
            </w:rPr>
            <w:t>1</w:t>
          </w:r>
          <w:r>
            <w:rPr>
              <w:noProof/>
            </w:rPr>
            <w:fldChar w:fldCharType="end"/>
          </w:r>
        </w:p>
      </w:tc>
    </w:tr>
  </w:tbl>
  <w:p w14:paraId="5F7496DB" w14:textId="77777777" w:rsidR="00BB64CC" w:rsidRDefault="00BB64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8505"/>
      <w:gridCol w:w="283"/>
    </w:tblGrid>
    <w:tr w:rsidR="00702F47" w14:paraId="1FB4D65F" w14:textId="77777777" w:rsidTr="004E78D5">
      <w:trPr>
        <w:trHeight w:val="283"/>
      </w:trPr>
      <w:tc>
        <w:tcPr>
          <w:tcW w:w="8505" w:type="dxa"/>
          <w:vAlign w:val="bottom"/>
        </w:tcPr>
        <w:p w14:paraId="12D57D75" w14:textId="77777777" w:rsidR="00702F47" w:rsidRPr="006A6CD8" w:rsidRDefault="00702F47" w:rsidP="00702F47">
          <w:pPr>
            <w:pStyle w:val="Footer"/>
            <w:rPr>
              <w:sz w:val="18"/>
              <w:szCs w:val="18"/>
            </w:rPr>
          </w:pPr>
          <w:r w:rsidRPr="006A6CD8">
            <w:rPr>
              <w:sz w:val="18"/>
              <w:szCs w:val="18"/>
            </w:rPr>
            <w:t xml:space="preserve">The Australian National University | </w:t>
          </w:r>
          <w:r w:rsidRPr="006A6CD8">
            <w:rPr>
              <w:i/>
              <w:iCs/>
              <w:sz w:val="18"/>
              <w:szCs w:val="18"/>
            </w:rPr>
            <w:t>Past trends and potential futures – projecting Australian fertility</w:t>
          </w:r>
        </w:p>
      </w:tc>
      <w:tc>
        <w:tcPr>
          <w:tcW w:w="283" w:type="dxa"/>
          <w:tcMar>
            <w:right w:w="28" w:type="dxa"/>
          </w:tcMar>
        </w:tcPr>
        <w:p w14:paraId="233ABEC2" w14:textId="77777777" w:rsidR="00702F47" w:rsidRDefault="00702F47" w:rsidP="00702F47">
          <w:pPr>
            <w:pStyle w:val="Footer"/>
            <w:jc w:val="right"/>
          </w:pPr>
          <w:r>
            <w:fldChar w:fldCharType="begin"/>
          </w:r>
          <w:r w:rsidRPr="00827AE7">
            <w:instrText xml:space="preserve"> PAGE   \* MERGEFORMAT </w:instrText>
          </w:r>
          <w:r>
            <w:fldChar w:fldCharType="separate"/>
          </w:r>
          <w:r>
            <w:rPr>
              <w:noProof/>
            </w:rPr>
            <w:t>1</w:t>
          </w:r>
          <w:r>
            <w:rPr>
              <w:noProof/>
            </w:rPr>
            <w:fldChar w:fldCharType="end"/>
          </w:r>
        </w:p>
      </w:tc>
    </w:tr>
  </w:tbl>
  <w:p w14:paraId="45777522" w14:textId="77777777" w:rsidR="00702F47" w:rsidRDefault="00702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63ACB" w14:textId="77777777" w:rsidR="006B409A" w:rsidRPr="00EE3623" w:rsidRDefault="006B409A" w:rsidP="00830E75">
      <w:r w:rsidRPr="00EE3623">
        <w:separator/>
      </w:r>
    </w:p>
  </w:footnote>
  <w:footnote w:type="continuationSeparator" w:id="0">
    <w:p w14:paraId="42BEE2EA" w14:textId="77777777" w:rsidR="006B409A" w:rsidRPr="00EE3623" w:rsidRDefault="006B409A" w:rsidP="00830E75">
      <w:r w:rsidRPr="00EE3623">
        <w:continuationSeparator/>
      </w:r>
    </w:p>
  </w:footnote>
  <w:footnote w:id="1">
    <w:p w14:paraId="6F510B4F" w14:textId="52C6C6B1" w:rsidR="00D231C6" w:rsidRPr="00104F1E" w:rsidRDefault="00D231C6" w:rsidP="00B1119B">
      <w:pPr>
        <w:pStyle w:val="FootnoteText"/>
        <w:ind w:left="426" w:hanging="426"/>
      </w:pPr>
      <w:r w:rsidRPr="00104F1E">
        <w:footnoteRef/>
      </w:r>
      <w:r w:rsidRPr="00104F1E">
        <w:t xml:space="preserve"> </w:t>
      </w:r>
      <w:r w:rsidR="00B1119B">
        <w:tab/>
      </w:r>
      <w:r w:rsidRPr="00104F1E">
        <w:t xml:space="preserve">Excluding </w:t>
      </w:r>
      <w:r w:rsidR="006F2A65" w:rsidRPr="00104F1E">
        <w:t>persons where country of birth was not stated.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5313E" w14:textId="55141828" w:rsidR="00702F47" w:rsidRPr="00702F47" w:rsidRDefault="00702F47" w:rsidP="00702F47">
    <w:pPr>
      <w:pStyle w:val="Header"/>
    </w:pPr>
    <w:r w:rsidRPr="00EE3623">
      <w:rPr>
        <w:noProof/>
        <w:lang w:eastAsia="en-AU"/>
      </w:rPr>
      <mc:AlternateContent>
        <mc:Choice Requires="wps">
          <w:drawing>
            <wp:anchor distT="0" distB="0" distL="114300" distR="114300" simplePos="0" relativeHeight="251668480" behindDoc="1" locked="0" layoutInCell="1" allowOverlap="1" wp14:anchorId="4E47950C" wp14:editId="2B2DCFBE">
              <wp:simplePos x="0" y="0"/>
              <wp:positionH relativeFrom="page">
                <wp:posOffset>648335</wp:posOffset>
              </wp:positionH>
              <wp:positionV relativeFrom="page">
                <wp:posOffset>-26983</wp:posOffset>
              </wp:positionV>
              <wp:extent cx="0" cy="10728000"/>
              <wp:effectExtent l="0" t="0" r="38100" b="35560"/>
              <wp:wrapNone/>
              <wp:docPr id="73726774"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28280B3E" id="Straight Connector 2" o:spid="_x0000_s1026" alt="&quot;&quot;" style="position:absolute;z-index:-25164800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1.05pt,-2.1pt" to="51.05pt,8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" strokecolor="#be830e [3204]" strokeweight="1pt">
              <v:stroke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BBFC" w14:textId="40CCBBF1" w:rsidR="00095FCC" w:rsidRPr="00702F47" w:rsidRDefault="00095FCC" w:rsidP="00702F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9264" w14:textId="77777777" w:rsidR="00BB64CC" w:rsidRPr="00BB64CC" w:rsidRDefault="00BB64CC" w:rsidP="00BB64CC">
    <w:pPr>
      <w:pStyle w:val="Header"/>
    </w:pPr>
    <w:r w:rsidRPr="00EE3623">
      <w:rPr>
        <w:noProof/>
        <w:lang w:eastAsia="en-AU"/>
      </w:rPr>
      <mc:AlternateContent>
        <mc:Choice Requires="wps">
          <w:drawing>
            <wp:anchor distT="0" distB="0" distL="114300" distR="114300" simplePos="0" relativeHeight="251672576" behindDoc="1" locked="0" layoutInCell="1" allowOverlap="1" wp14:anchorId="083EF1C7" wp14:editId="71CE250C">
              <wp:simplePos x="0" y="0"/>
              <wp:positionH relativeFrom="page">
                <wp:posOffset>648335</wp:posOffset>
              </wp:positionH>
              <wp:positionV relativeFrom="page">
                <wp:posOffset>-26983</wp:posOffset>
              </wp:positionV>
              <wp:extent cx="0" cy="10728000"/>
              <wp:effectExtent l="0" t="0" r="38100" b="35560"/>
              <wp:wrapNone/>
              <wp:docPr id="1694950014"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588BC719" id="Straight Connector 2" o:spid="_x0000_s1026" alt="&quot;&quot;" style="position:absolute;z-index:-25164390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1.05pt,-2.1pt" to="51.05pt,8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" strokecolor="#be830e [3204]" strokeweight="1pt">
              <v:stroke joinstyle="miter"/>
              <w10:wrap anchorx="page" anchory="page"/>
            </v:line>
          </w:pict>
        </mc:Fallback>
      </mc:AlternateContent>
    </w:r>
    <w:r w:rsidRPr="00EE3623">
      <w:t>Supplementary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05FD" w14:textId="7EEF96A9" w:rsidR="00702F47" w:rsidRPr="00702F47" w:rsidRDefault="00702F47" w:rsidP="00702F47">
    <w:pPr>
      <w:pStyle w:val="Header"/>
    </w:pPr>
    <w:r w:rsidRPr="00EE3623">
      <w:rPr>
        <w:noProof/>
        <w:lang w:eastAsia="en-AU"/>
      </w:rPr>
      <mc:AlternateContent>
        <mc:Choice Requires="wps">
          <w:drawing>
            <wp:anchor distT="0" distB="0" distL="114300" distR="114300" simplePos="0" relativeHeight="251666432" behindDoc="1" locked="0" layoutInCell="1" allowOverlap="1" wp14:anchorId="2252A60F" wp14:editId="57B95DB2">
              <wp:simplePos x="0" y="0"/>
              <wp:positionH relativeFrom="page">
                <wp:posOffset>648335</wp:posOffset>
              </wp:positionH>
              <wp:positionV relativeFrom="page">
                <wp:posOffset>-26983</wp:posOffset>
              </wp:positionV>
              <wp:extent cx="0" cy="10728000"/>
              <wp:effectExtent l="0" t="0" r="38100" b="35560"/>
              <wp:wrapNone/>
              <wp:docPr id="80921531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141CA971" id="Straight Connector 2" o:spid="_x0000_s1026" alt="&quot;&quot;" style="position:absolute;z-index:-25165004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1.05pt,-2.1pt" to="51.05pt,8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" strokecolor="#be830e [3204]" strokeweight="1pt">
              <v:stroke joinstyle="miter"/>
              <w10:wrap anchorx="page" anchory="page"/>
            </v:line>
          </w:pict>
        </mc:Fallback>
      </mc:AlternateContent>
    </w:r>
    <w:r w:rsidRPr="00EE3623">
      <w:t>Supplementary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BDB"/>
    <w:multiLevelType w:val="multilevel"/>
    <w:tmpl w:val="B3484234"/>
    <w:numStyleLink w:val="Bullets"/>
  </w:abstractNum>
  <w:abstractNum w:abstractNumId="1" w15:restartNumberingAfterBreak="0">
    <w:nsid w:val="021213D8"/>
    <w:multiLevelType w:val="multilevel"/>
    <w:tmpl w:val="92A08ADE"/>
    <w:styleLink w:val="AppendixList"/>
    <w:lvl w:ilvl="0">
      <w:start w:val="1"/>
      <w:numFmt w:val="decimal"/>
      <w:lvlText w:val="Appendix %1"/>
      <w:lvlJc w:val="left"/>
      <w:pPr>
        <w:ind w:left="1985" w:hanging="1985"/>
      </w:pPr>
      <w:rPr>
        <w:rFonts w:asciiTheme="majorHAnsi" w:hAnsiTheme="majorHAnsi" w:hint="default"/>
        <w:color w:val="auto"/>
        <w:sz w:val="36"/>
      </w:rPr>
    </w:lvl>
    <w:lvl w:ilvl="1">
      <w:start w:val="1"/>
      <w:numFmt w:val="none"/>
      <w:lvlText w:val=""/>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2" w15:restartNumberingAfterBreak="0">
    <w:nsid w:val="03481278"/>
    <w:multiLevelType w:val="hybridMultilevel"/>
    <w:tmpl w:val="68D2DE0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3E52982"/>
    <w:multiLevelType w:val="hybridMultilevel"/>
    <w:tmpl w:val="50BA7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19432D"/>
    <w:multiLevelType w:val="hybridMultilevel"/>
    <w:tmpl w:val="AAA02F78"/>
    <w:lvl w:ilvl="0" w:tplc="9266ECD8">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66214EC"/>
    <w:multiLevelType w:val="multilevel"/>
    <w:tmpl w:val="6B40FB08"/>
    <w:name w:val="StandardNumberedList"/>
    <w:lvl w:ilvl="0">
      <w:start w:val="1"/>
      <w:numFmt w:val="decimal"/>
      <w:pStyle w:val="OutlineNumbered1"/>
      <w:lvlText w:val="%1."/>
      <w:lvlJc w:val="left"/>
      <w:pPr>
        <w:tabs>
          <w:tab w:val="num" w:pos="425"/>
        </w:tabs>
        <w:ind w:left="425" w:hanging="425"/>
      </w:pPr>
    </w:lvl>
    <w:lvl w:ilvl="1">
      <w:start w:val="1"/>
      <w:numFmt w:val="decimal"/>
      <w:pStyle w:val="OutlineNumbered2"/>
      <w:lvlText w:val="%1.%2."/>
      <w:lvlJc w:val="left"/>
      <w:pPr>
        <w:tabs>
          <w:tab w:val="num" w:pos="850"/>
        </w:tabs>
        <w:ind w:left="850" w:hanging="425"/>
      </w:pPr>
    </w:lvl>
    <w:lvl w:ilvl="2">
      <w:start w:val="1"/>
      <w:numFmt w:val="decimal"/>
      <w:pStyle w:val="OutlineNumbered3"/>
      <w:lvlText w:val="%1.%2.%3."/>
      <w:lvlJc w:val="left"/>
      <w:pPr>
        <w:tabs>
          <w:tab w:val="num" w:pos="1275"/>
        </w:tabs>
        <w:ind w:left="1275"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9CD2668"/>
    <w:multiLevelType w:val="multilevel"/>
    <w:tmpl w:val="5D3424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C7A5373"/>
    <w:multiLevelType w:val="multilevel"/>
    <w:tmpl w:val="2F4286B0"/>
    <w:name w:val="Number_Edge3"/>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8" w15:restartNumberingAfterBreak="0">
    <w:nsid w:val="0DC15879"/>
    <w:multiLevelType w:val="multilevel"/>
    <w:tmpl w:val="2AA69AF8"/>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F6E1A89"/>
    <w:multiLevelType w:val="multilevel"/>
    <w:tmpl w:val="92A08ADE"/>
    <w:numStyleLink w:val="AppendixList"/>
  </w:abstractNum>
  <w:abstractNum w:abstractNumId="10" w15:restartNumberingAfterBreak="0">
    <w:nsid w:val="12905213"/>
    <w:multiLevelType w:val="multilevel"/>
    <w:tmpl w:val="0FA8230A"/>
    <w:name w:val="Edge"/>
    <w:lvl w:ilvl="0">
      <w:start w:val="1"/>
      <w:numFmt w:val="decimal"/>
      <w:lvlText w:val="%1"/>
      <w:lvlJc w:val="left"/>
      <w:pPr>
        <w:ind w:left="567" w:hanging="567"/>
      </w:pPr>
      <w:rPr>
        <w:rFonts w:ascii="Arial" w:hAnsi="Arial" w:hint="default"/>
        <w:b/>
        <w:i w:val="0"/>
        <w:color w:val="000000" w:themeColor="text2"/>
        <w:sz w:val="4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021" w:hanging="664"/>
      </w:pPr>
      <w:rPr>
        <w:rFonts w:ascii="Arial" w:hAnsi="Arial" w:hint="default"/>
        <w:b/>
        <w:i w:val="0"/>
        <w:color w:val="000000" w:themeColor="text2"/>
        <w:sz w:val="20"/>
      </w:rPr>
    </w:lvl>
    <w:lvl w:ilvl="3">
      <w:start w:val="1"/>
      <w:numFmt w:val="decimal"/>
      <w:lvlText w:val="%1.%2.%3.%4"/>
      <w:lvlJc w:val="left"/>
      <w:pPr>
        <w:ind w:left="924" w:hanging="244"/>
      </w:pPr>
      <w:rPr>
        <w:rFonts w:ascii="Arial" w:hAnsi="Arial" w:hint="default"/>
        <w:b/>
        <w:i w:val="0"/>
        <w:color w:val="000000" w:themeColor="text2"/>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13054E4A"/>
    <w:multiLevelType w:val="multilevel"/>
    <w:tmpl w:val="90D02514"/>
    <w:lvl w:ilvl="0">
      <w:start w:val="1"/>
      <w:numFmt w:val="decimal"/>
      <w:pStyle w:val="ListNumber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6707280"/>
    <w:multiLevelType w:val="multilevel"/>
    <w:tmpl w:val="1E343666"/>
    <w:name w:val="ListBullet_Edge"/>
    <w:lvl w:ilvl="0">
      <w:start w:val="1"/>
      <w:numFmt w:val="bullet"/>
      <w:lvlText w:val=""/>
      <w:lvlJc w:val="left"/>
      <w:pPr>
        <w:tabs>
          <w:tab w:val="num" w:pos="924"/>
        </w:tabs>
        <w:ind w:left="924" w:hanging="357"/>
      </w:pPr>
      <w:rPr>
        <w:rFonts w:ascii="Symbol" w:hAnsi="Symbol" w:hint="default"/>
        <w:b/>
        <w:i w:val="0"/>
        <w:color w:val="BE4E0E" w:themeColor="accent4"/>
        <w:sz w:val="20"/>
      </w:rPr>
    </w:lvl>
    <w:lvl w:ilvl="1">
      <w:start w:val="1"/>
      <w:numFmt w:val="bullet"/>
      <w:lvlText w:val="o"/>
      <w:lvlJc w:val="left"/>
      <w:pPr>
        <w:tabs>
          <w:tab w:val="num" w:pos="1134"/>
        </w:tabs>
        <w:ind w:left="1491" w:hanging="357"/>
      </w:pPr>
      <w:rPr>
        <w:rFonts w:ascii="Courier New" w:hAnsi="Courier New" w:hint="default"/>
        <w:b/>
        <w:i w:val="0"/>
        <w:color w:val="BE4E0E" w:themeColor="accent4"/>
        <w:sz w:val="20"/>
      </w:rPr>
    </w:lvl>
    <w:lvl w:ilvl="2">
      <w:start w:val="1"/>
      <w:numFmt w:val="none"/>
      <w:lvlText w:val="%1"/>
      <w:lvlJc w:val="left"/>
      <w:pPr>
        <w:tabs>
          <w:tab w:val="num" w:pos="1701"/>
        </w:tabs>
        <w:ind w:left="1491" w:firstLine="210"/>
      </w:pPr>
      <w:rPr>
        <w:rFonts w:ascii="Arial" w:hAnsi="Arial" w:hint="default"/>
        <w:b/>
        <w:i w:val="0"/>
        <w:color w:val="000000" w:themeColor="text2"/>
        <w:sz w:val="20"/>
      </w:rPr>
    </w:lvl>
    <w:lvl w:ilvl="3">
      <w:start w:val="1"/>
      <w:numFmt w:val="none"/>
      <w:lvlText w:val="%1"/>
      <w:lvlJc w:val="left"/>
      <w:pPr>
        <w:tabs>
          <w:tab w:val="num" w:pos="2268"/>
        </w:tabs>
        <w:ind w:left="2058" w:firstLine="210"/>
      </w:pPr>
      <w:rPr>
        <w:rFonts w:ascii="Arial" w:hAnsi="Arial" w:hint="default"/>
        <w:b/>
        <w:i w:val="0"/>
        <w:color w:val="000000" w:themeColor="text2"/>
        <w:sz w:val="20"/>
      </w:rPr>
    </w:lvl>
    <w:lvl w:ilvl="4">
      <w:start w:val="1"/>
      <w:numFmt w:val="none"/>
      <w:lvlText w:val=""/>
      <w:lvlJc w:val="left"/>
      <w:pPr>
        <w:tabs>
          <w:tab w:val="num" w:pos="2835"/>
        </w:tabs>
        <w:ind w:left="2625" w:firstLine="210"/>
      </w:pPr>
      <w:rPr>
        <w:rFonts w:hint="default"/>
      </w:rPr>
    </w:lvl>
    <w:lvl w:ilvl="5">
      <w:start w:val="1"/>
      <w:numFmt w:val="none"/>
      <w:lvlText w:val=""/>
      <w:lvlJc w:val="left"/>
      <w:pPr>
        <w:tabs>
          <w:tab w:val="num" w:pos="3402"/>
        </w:tabs>
        <w:ind w:left="3192" w:firstLine="210"/>
      </w:pPr>
      <w:rPr>
        <w:rFonts w:hint="default"/>
      </w:rPr>
    </w:lvl>
    <w:lvl w:ilvl="6">
      <w:start w:val="1"/>
      <w:numFmt w:val="none"/>
      <w:lvlText w:val="%7"/>
      <w:lvlJc w:val="left"/>
      <w:pPr>
        <w:tabs>
          <w:tab w:val="num" w:pos="3969"/>
        </w:tabs>
        <w:ind w:left="3759" w:firstLine="210"/>
      </w:pPr>
      <w:rPr>
        <w:rFonts w:hint="default"/>
      </w:rPr>
    </w:lvl>
    <w:lvl w:ilvl="7">
      <w:start w:val="1"/>
      <w:numFmt w:val="none"/>
      <w:lvlText w:val=""/>
      <w:lvlJc w:val="left"/>
      <w:pPr>
        <w:tabs>
          <w:tab w:val="num" w:pos="4536"/>
        </w:tabs>
        <w:ind w:left="4326" w:firstLine="210"/>
      </w:pPr>
      <w:rPr>
        <w:rFonts w:hint="default"/>
      </w:rPr>
    </w:lvl>
    <w:lvl w:ilvl="8">
      <w:start w:val="1"/>
      <w:numFmt w:val="none"/>
      <w:lvlText w:val=""/>
      <w:lvlJc w:val="left"/>
      <w:pPr>
        <w:tabs>
          <w:tab w:val="num" w:pos="5103"/>
        </w:tabs>
        <w:ind w:left="4893" w:firstLine="210"/>
      </w:pPr>
      <w:rPr>
        <w:rFonts w:hint="default"/>
      </w:rPr>
    </w:lvl>
  </w:abstractNum>
  <w:abstractNum w:abstractNumId="13" w15:restartNumberingAfterBreak="0">
    <w:nsid w:val="16C000A7"/>
    <w:multiLevelType w:val="multilevel"/>
    <w:tmpl w:val="9104BD56"/>
    <w:styleLink w:val="ListNumber"/>
    <w:lvl w:ilvl="0">
      <w:start w:val="1"/>
      <w:numFmt w:val="decimal"/>
      <w:pStyle w:val="ListNumber0"/>
      <w:lvlText w:val="%1."/>
      <w:lvlJc w:val="left"/>
      <w:pPr>
        <w:ind w:left="454" w:hanging="454"/>
      </w:pPr>
      <w:rPr>
        <w:rFonts w:hint="default"/>
      </w:rPr>
    </w:lvl>
    <w:lvl w:ilvl="1">
      <w:start w:val="1"/>
      <w:numFmt w:val="decimal"/>
      <w:pStyle w:val="ListNumber2"/>
      <w:lvlText w:val="%1.%2"/>
      <w:lvlJc w:val="left"/>
      <w:pPr>
        <w:ind w:left="964" w:hanging="510"/>
      </w:pPr>
      <w:rPr>
        <w:rFonts w:hint="default"/>
      </w:rPr>
    </w:lvl>
    <w:lvl w:ilvl="2">
      <w:start w:val="1"/>
      <w:numFmt w:val="decimal"/>
      <w:pStyle w:val="ListNumber3"/>
      <w:lvlText w:val="%1.%2.%3"/>
      <w:lvlJc w:val="left"/>
      <w:pPr>
        <w:ind w:left="1701" w:hanging="737"/>
      </w:pPr>
      <w:rPr>
        <w:rFonts w:hint="default"/>
      </w:rPr>
    </w:lvl>
    <w:lvl w:ilvl="3">
      <w:start w:val="1"/>
      <w:numFmt w:val="none"/>
      <w:lvlText w:val=""/>
      <w:lvlJc w:val="left"/>
      <w:pPr>
        <w:ind w:left="1021" w:hanging="341"/>
      </w:pPr>
      <w:rPr>
        <w:rFonts w:hint="default"/>
      </w:rPr>
    </w:lvl>
    <w:lvl w:ilvl="4">
      <w:start w:val="1"/>
      <w:numFmt w:val="none"/>
      <w:lvlText w:val=""/>
      <w:lvlJc w:val="left"/>
      <w:pPr>
        <w:ind w:left="1021" w:hanging="341"/>
      </w:pPr>
      <w:rPr>
        <w:rFonts w:hint="default"/>
      </w:rPr>
    </w:lvl>
    <w:lvl w:ilvl="5">
      <w:start w:val="1"/>
      <w:numFmt w:val="none"/>
      <w:lvlText w:val=""/>
      <w:lvlJc w:val="left"/>
      <w:pPr>
        <w:ind w:left="1021" w:hanging="341"/>
      </w:pPr>
      <w:rPr>
        <w:rFonts w:hint="default"/>
      </w:rPr>
    </w:lvl>
    <w:lvl w:ilvl="6">
      <w:start w:val="1"/>
      <w:numFmt w:val="none"/>
      <w:lvlText w:val="%7"/>
      <w:lvlJc w:val="left"/>
      <w:pPr>
        <w:ind w:left="1021" w:hanging="341"/>
      </w:pPr>
      <w:rPr>
        <w:rFonts w:hint="default"/>
      </w:rPr>
    </w:lvl>
    <w:lvl w:ilvl="7">
      <w:start w:val="1"/>
      <w:numFmt w:val="none"/>
      <w:lvlText w:val="%8"/>
      <w:lvlJc w:val="left"/>
      <w:pPr>
        <w:ind w:left="1021" w:hanging="341"/>
      </w:pPr>
      <w:rPr>
        <w:rFonts w:hint="default"/>
      </w:rPr>
    </w:lvl>
    <w:lvl w:ilvl="8">
      <w:start w:val="1"/>
      <w:numFmt w:val="none"/>
      <w:lvlText w:val="%9"/>
      <w:lvlJc w:val="left"/>
      <w:pPr>
        <w:ind w:left="1021" w:hanging="341"/>
      </w:pPr>
      <w:rPr>
        <w:rFonts w:hint="default"/>
      </w:rPr>
    </w:lvl>
  </w:abstractNum>
  <w:abstractNum w:abstractNumId="14" w15:restartNumberingAfterBreak="0">
    <w:nsid w:val="1824551F"/>
    <w:multiLevelType w:val="multilevel"/>
    <w:tmpl w:val="92A08ADE"/>
    <w:numStyleLink w:val="AppendixList"/>
  </w:abstractNum>
  <w:abstractNum w:abstractNumId="15" w15:restartNumberingAfterBreak="0">
    <w:nsid w:val="183316AA"/>
    <w:multiLevelType w:val="multilevel"/>
    <w:tmpl w:val="2F4286B0"/>
    <w:name w:val="Number_Edge5"/>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6" w15:restartNumberingAfterBreak="0">
    <w:nsid w:val="1BC2072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D410C15"/>
    <w:multiLevelType w:val="hybridMultilevel"/>
    <w:tmpl w:val="4B267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D980D28"/>
    <w:multiLevelType w:val="multilevel"/>
    <w:tmpl w:val="92A08ADE"/>
    <w:numStyleLink w:val="AppendixList"/>
  </w:abstractNum>
  <w:abstractNum w:abstractNumId="19" w15:restartNumberingAfterBreak="0">
    <w:nsid w:val="22BF217C"/>
    <w:multiLevelType w:val="multilevel"/>
    <w:tmpl w:val="B9A44C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57C31F9"/>
    <w:multiLevelType w:val="multilevel"/>
    <w:tmpl w:val="B3484234"/>
    <w:numStyleLink w:val="Bullets"/>
  </w:abstractNum>
  <w:abstractNum w:abstractNumId="21" w15:restartNumberingAfterBreak="0">
    <w:nsid w:val="2B8B2C70"/>
    <w:multiLevelType w:val="multilevel"/>
    <w:tmpl w:val="2F4286B0"/>
    <w:name w:val="Number_Edge"/>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22" w15:restartNumberingAfterBreak="0">
    <w:nsid w:val="30BA0D27"/>
    <w:multiLevelType w:val="hybridMultilevel"/>
    <w:tmpl w:val="D3D8A532"/>
    <w:lvl w:ilvl="0" w:tplc="FB4C187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1DA4666"/>
    <w:multiLevelType w:val="multilevel"/>
    <w:tmpl w:val="B3484234"/>
    <w:styleLink w:val="Bullets"/>
    <w:lvl w:ilvl="0">
      <w:start w:val="1"/>
      <w:numFmt w:val="bullet"/>
      <w:pStyle w:val="ListBullet"/>
      <w:lvlText w:val=""/>
      <w:lvlJc w:val="left"/>
      <w:pPr>
        <w:ind w:left="340" w:hanging="340"/>
      </w:pPr>
      <w:rPr>
        <w:rFonts w:ascii="Symbol" w:hAnsi="Symbol" w:hint="default"/>
        <w:b w:val="0"/>
        <w:i w:val="0"/>
        <w:color w:val="auto"/>
        <w:sz w:val="19"/>
      </w:rPr>
    </w:lvl>
    <w:lvl w:ilvl="1">
      <w:start w:val="1"/>
      <w:numFmt w:val="bullet"/>
      <w:pStyle w:val="ListBullet2"/>
      <w:lvlText w:val=""/>
      <w:lvlJc w:val="left"/>
      <w:pPr>
        <w:ind w:left="680" w:hanging="340"/>
      </w:pPr>
      <w:rPr>
        <w:rFonts w:ascii="Symbol" w:hAnsi="Symbol" w:hint="default"/>
        <w:color w:val="auto"/>
      </w:rPr>
    </w:lvl>
    <w:lvl w:ilvl="2">
      <w:start w:val="1"/>
      <w:numFmt w:val="bullet"/>
      <w:pStyle w:val="ListBullet3"/>
      <w:lvlText w:val=""/>
      <w:lvlJc w:val="left"/>
      <w:pPr>
        <w:ind w:left="1021" w:hanging="341"/>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hanging="3276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34773B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5651EEB"/>
    <w:multiLevelType w:val="multilevel"/>
    <w:tmpl w:val="9B9063BE"/>
    <w:lvl w:ilvl="0">
      <w:start w:val="1"/>
      <w:numFmt w:val="bullet"/>
      <w:lvlText w:val=""/>
      <w:lvlJc w:val="left"/>
      <w:pPr>
        <w:ind w:left="284" w:hanging="284"/>
      </w:pPr>
      <w:rPr>
        <w:rFonts w:ascii="Symbol" w:hAnsi="Symbol" w:hint="default"/>
        <w:color w:val="auto"/>
      </w:rPr>
    </w:lvl>
    <w:lvl w:ilvl="1">
      <w:start w:val="1"/>
      <w:numFmt w:val="none"/>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42BF493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EF365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7553C0B"/>
    <w:multiLevelType w:val="multilevel"/>
    <w:tmpl w:val="19D0A8D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82C0D30"/>
    <w:multiLevelType w:val="multilevel"/>
    <w:tmpl w:val="B3484234"/>
    <w:numStyleLink w:val="Bullets"/>
  </w:abstractNum>
  <w:abstractNum w:abstractNumId="30" w15:restartNumberingAfterBreak="0">
    <w:nsid w:val="4B636921"/>
    <w:multiLevelType w:val="hybridMultilevel"/>
    <w:tmpl w:val="81A04B40"/>
    <w:lvl w:ilvl="0" w:tplc="01ACA0A4">
      <w:start w:val="1"/>
      <w:numFmt w:val="decimal"/>
      <w:lvlText w:val="%1.a"/>
      <w:lvlJc w:val="left"/>
      <w:pPr>
        <w:ind w:left="720" w:hanging="360"/>
      </w:pPr>
      <w:rPr>
        <w:rFonts w:ascii="Arial" w:hAnsi="Arial" w:hint="default"/>
        <w:b/>
        <w:i w:val="0"/>
        <w:sz w:val="22"/>
      </w:rPr>
    </w:lvl>
    <w:lvl w:ilvl="1" w:tplc="3AB0E0A8" w:tentative="1">
      <w:start w:val="1"/>
      <w:numFmt w:val="lowerLetter"/>
      <w:lvlText w:val="%2."/>
      <w:lvlJc w:val="left"/>
      <w:pPr>
        <w:ind w:left="1440" w:hanging="360"/>
      </w:pPr>
    </w:lvl>
    <w:lvl w:ilvl="2" w:tplc="3928435E" w:tentative="1">
      <w:start w:val="1"/>
      <w:numFmt w:val="lowerRoman"/>
      <w:lvlText w:val="%3."/>
      <w:lvlJc w:val="right"/>
      <w:pPr>
        <w:ind w:left="2160" w:hanging="180"/>
      </w:pPr>
    </w:lvl>
    <w:lvl w:ilvl="3" w:tplc="F848AB60" w:tentative="1">
      <w:start w:val="1"/>
      <w:numFmt w:val="decimal"/>
      <w:lvlText w:val="%4."/>
      <w:lvlJc w:val="left"/>
      <w:pPr>
        <w:ind w:left="2880" w:hanging="360"/>
      </w:pPr>
    </w:lvl>
    <w:lvl w:ilvl="4" w:tplc="13AE36A2" w:tentative="1">
      <w:start w:val="1"/>
      <w:numFmt w:val="lowerLetter"/>
      <w:lvlText w:val="%5."/>
      <w:lvlJc w:val="left"/>
      <w:pPr>
        <w:ind w:left="3600" w:hanging="360"/>
      </w:pPr>
    </w:lvl>
    <w:lvl w:ilvl="5" w:tplc="66B8F9B6" w:tentative="1">
      <w:start w:val="1"/>
      <w:numFmt w:val="lowerRoman"/>
      <w:lvlText w:val="%6."/>
      <w:lvlJc w:val="right"/>
      <w:pPr>
        <w:ind w:left="4320" w:hanging="180"/>
      </w:pPr>
    </w:lvl>
    <w:lvl w:ilvl="6" w:tplc="47C48F3C" w:tentative="1">
      <w:start w:val="1"/>
      <w:numFmt w:val="decimal"/>
      <w:lvlText w:val="%7."/>
      <w:lvlJc w:val="left"/>
      <w:pPr>
        <w:ind w:left="5040" w:hanging="360"/>
      </w:pPr>
    </w:lvl>
    <w:lvl w:ilvl="7" w:tplc="5F00E30E" w:tentative="1">
      <w:start w:val="1"/>
      <w:numFmt w:val="lowerLetter"/>
      <w:lvlText w:val="%8."/>
      <w:lvlJc w:val="left"/>
      <w:pPr>
        <w:ind w:left="5760" w:hanging="360"/>
      </w:pPr>
    </w:lvl>
    <w:lvl w:ilvl="8" w:tplc="2012D50C" w:tentative="1">
      <w:start w:val="1"/>
      <w:numFmt w:val="lowerRoman"/>
      <w:lvlText w:val="%9."/>
      <w:lvlJc w:val="right"/>
      <w:pPr>
        <w:ind w:left="6480" w:hanging="180"/>
      </w:pPr>
    </w:lvl>
  </w:abstractNum>
  <w:abstractNum w:abstractNumId="31" w15:restartNumberingAfterBreak="0">
    <w:nsid w:val="4C855023"/>
    <w:multiLevelType w:val="multilevel"/>
    <w:tmpl w:val="3028FCE4"/>
    <w:numStyleLink w:val="NumberedList"/>
  </w:abstractNum>
  <w:abstractNum w:abstractNumId="32" w15:restartNumberingAfterBreak="0">
    <w:nsid w:val="5134727B"/>
    <w:multiLevelType w:val="hybridMultilevel"/>
    <w:tmpl w:val="89B440B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3A35A34"/>
    <w:multiLevelType w:val="multilevel"/>
    <w:tmpl w:val="2F4286B0"/>
    <w:name w:val="Number_Edge4"/>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4" w15:restartNumberingAfterBreak="0">
    <w:nsid w:val="549E053C"/>
    <w:multiLevelType w:val="multilevel"/>
    <w:tmpl w:val="FDF648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55526D41"/>
    <w:multiLevelType w:val="hybridMultilevel"/>
    <w:tmpl w:val="5190595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6A24C0A"/>
    <w:multiLevelType w:val="hybridMultilevel"/>
    <w:tmpl w:val="E916B29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8126F49"/>
    <w:multiLevelType w:val="multilevel"/>
    <w:tmpl w:val="2F4286B0"/>
    <w:name w:val="Number_Edge2"/>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8" w15:restartNumberingAfterBreak="0">
    <w:nsid w:val="58D70A3B"/>
    <w:multiLevelType w:val="hybridMultilevel"/>
    <w:tmpl w:val="3670B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06E1BB5"/>
    <w:multiLevelType w:val="multilevel"/>
    <w:tmpl w:val="68CE20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1EC5627"/>
    <w:multiLevelType w:val="hybridMultilevel"/>
    <w:tmpl w:val="A4B08CC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35A2E72"/>
    <w:multiLevelType w:val="multilevel"/>
    <w:tmpl w:val="9104BD56"/>
    <w:numStyleLink w:val="ListNumber"/>
  </w:abstractNum>
  <w:abstractNum w:abstractNumId="42" w15:restartNumberingAfterBreak="0">
    <w:nsid w:val="63E16ABD"/>
    <w:multiLevelType w:val="multilevel"/>
    <w:tmpl w:val="2956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B47C4D"/>
    <w:multiLevelType w:val="hybridMultilevel"/>
    <w:tmpl w:val="62A81FDC"/>
    <w:lvl w:ilvl="0" w:tplc="135AEA12">
      <w:start w:val="1"/>
      <w:numFmt w:val="decimal"/>
      <w:lvlText w:val="%1"/>
      <w:lvlJc w:val="left"/>
      <w:pPr>
        <w:ind w:left="720" w:hanging="360"/>
      </w:pPr>
      <w:rPr>
        <w:rFonts w:ascii="Arial" w:hAnsi="Arial"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BEE9714" w:tentative="1">
      <w:start w:val="1"/>
      <w:numFmt w:val="lowerLetter"/>
      <w:lvlText w:val="%2."/>
      <w:lvlJc w:val="left"/>
      <w:pPr>
        <w:ind w:left="1440" w:hanging="360"/>
      </w:pPr>
    </w:lvl>
    <w:lvl w:ilvl="2" w:tplc="7B98F464" w:tentative="1">
      <w:start w:val="1"/>
      <w:numFmt w:val="lowerRoman"/>
      <w:lvlText w:val="%3."/>
      <w:lvlJc w:val="right"/>
      <w:pPr>
        <w:ind w:left="2160" w:hanging="180"/>
      </w:pPr>
    </w:lvl>
    <w:lvl w:ilvl="3" w:tplc="62E2CC9E" w:tentative="1">
      <w:start w:val="1"/>
      <w:numFmt w:val="decimal"/>
      <w:lvlText w:val="%4."/>
      <w:lvlJc w:val="left"/>
      <w:pPr>
        <w:ind w:left="2880" w:hanging="360"/>
      </w:pPr>
    </w:lvl>
    <w:lvl w:ilvl="4" w:tplc="4176C194" w:tentative="1">
      <w:start w:val="1"/>
      <w:numFmt w:val="lowerLetter"/>
      <w:lvlText w:val="%5."/>
      <w:lvlJc w:val="left"/>
      <w:pPr>
        <w:ind w:left="3600" w:hanging="360"/>
      </w:pPr>
    </w:lvl>
    <w:lvl w:ilvl="5" w:tplc="DF1A79C4" w:tentative="1">
      <w:start w:val="1"/>
      <w:numFmt w:val="lowerRoman"/>
      <w:lvlText w:val="%6."/>
      <w:lvlJc w:val="right"/>
      <w:pPr>
        <w:ind w:left="4320" w:hanging="180"/>
      </w:pPr>
    </w:lvl>
    <w:lvl w:ilvl="6" w:tplc="D5804808" w:tentative="1">
      <w:start w:val="1"/>
      <w:numFmt w:val="decimal"/>
      <w:lvlText w:val="%7."/>
      <w:lvlJc w:val="left"/>
      <w:pPr>
        <w:ind w:left="5040" w:hanging="360"/>
      </w:pPr>
    </w:lvl>
    <w:lvl w:ilvl="7" w:tplc="DBB65CF6" w:tentative="1">
      <w:start w:val="1"/>
      <w:numFmt w:val="lowerLetter"/>
      <w:lvlText w:val="%8."/>
      <w:lvlJc w:val="left"/>
      <w:pPr>
        <w:ind w:left="5760" w:hanging="360"/>
      </w:pPr>
    </w:lvl>
    <w:lvl w:ilvl="8" w:tplc="AA2E24C6" w:tentative="1">
      <w:start w:val="1"/>
      <w:numFmt w:val="lowerRoman"/>
      <w:lvlText w:val="%9."/>
      <w:lvlJc w:val="right"/>
      <w:pPr>
        <w:ind w:left="6480" w:hanging="180"/>
      </w:pPr>
    </w:lvl>
  </w:abstractNum>
  <w:abstractNum w:abstractNumId="44" w15:restartNumberingAfterBreak="0">
    <w:nsid w:val="669F3BE0"/>
    <w:multiLevelType w:val="hybridMultilevel"/>
    <w:tmpl w:val="7AF2348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EB5721A"/>
    <w:multiLevelType w:val="multilevel"/>
    <w:tmpl w:val="BC188E3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6EEC2B4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72B73F6"/>
    <w:multiLevelType w:val="multilevel"/>
    <w:tmpl w:val="3028FCE4"/>
    <w:styleLink w:val="NumberedList"/>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48" w15:restartNumberingAfterBreak="0">
    <w:nsid w:val="77FD0661"/>
    <w:multiLevelType w:val="hybridMultilevel"/>
    <w:tmpl w:val="B65C793C"/>
    <w:lvl w:ilvl="0" w:tplc="66FE7F12">
      <w:start w:val="1"/>
      <w:numFmt w:val="bullet"/>
      <w:pStyle w:val="TableBullet"/>
      <w:lvlText w:val=""/>
      <w:lvlJc w:val="left"/>
      <w:pPr>
        <w:ind w:left="720" w:hanging="360"/>
      </w:pPr>
      <w:rPr>
        <w:rFonts w:ascii="Symbol" w:hAnsi="Symbol"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84F4A9E"/>
    <w:multiLevelType w:val="multilevel"/>
    <w:tmpl w:val="2F4286B0"/>
    <w:name w:val="Number_Edge"/>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num w:numId="1" w16cid:durableId="1208686638">
    <w:abstractNumId w:val="11"/>
  </w:num>
  <w:num w:numId="2" w16cid:durableId="1830249105">
    <w:abstractNumId w:val="8"/>
    <w:lvlOverride w:ilvl="0">
      <w:lvl w:ilvl="0">
        <w:start w:val="1"/>
        <w:numFmt w:val="decimal"/>
        <w:suff w:val="space"/>
        <w:lvlText w:val="%1."/>
        <w:lvlJc w:val="left"/>
        <w:pPr>
          <w:ind w:left="360" w:hanging="360"/>
        </w:pPr>
        <w:rPr>
          <w:rFonts w:hint="default"/>
        </w:rPr>
      </w:lvl>
    </w:lvlOverride>
  </w:num>
  <w:num w:numId="3" w16cid:durableId="1261063620">
    <w:abstractNumId w:val="6"/>
  </w:num>
  <w:num w:numId="4" w16cid:durableId="1428382964">
    <w:abstractNumId w:val="30"/>
  </w:num>
  <w:num w:numId="5" w16cid:durableId="843471004">
    <w:abstractNumId w:val="43"/>
  </w:num>
  <w:num w:numId="6" w16cid:durableId="2007131483">
    <w:abstractNumId w:val="47"/>
  </w:num>
  <w:num w:numId="7" w16cid:durableId="530344746">
    <w:abstractNumId w:val="1"/>
  </w:num>
  <w:num w:numId="8" w16cid:durableId="1775906083">
    <w:abstractNumId w:val="31"/>
  </w:num>
  <w:num w:numId="9" w16cid:durableId="1111633556">
    <w:abstractNumId w:val="25"/>
  </w:num>
  <w:num w:numId="10" w16cid:durableId="947934467">
    <w:abstractNumId w:val="14"/>
  </w:num>
  <w:num w:numId="11" w16cid:durableId="1867719127">
    <w:abstractNumId w:val="23"/>
  </w:num>
  <w:num w:numId="12" w16cid:durableId="345059456">
    <w:abstractNumId w:val="20"/>
  </w:num>
  <w:num w:numId="13" w16cid:durableId="1735666283">
    <w:abstractNumId w:val="13"/>
  </w:num>
  <w:num w:numId="14" w16cid:durableId="527761466">
    <w:abstractNumId w:val="41"/>
  </w:num>
  <w:num w:numId="15" w16cid:durableId="878012824">
    <w:abstractNumId w:val="29"/>
  </w:num>
  <w:num w:numId="16" w16cid:durableId="2033216673">
    <w:abstractNumId w:val="18"/>
  </w:num>
  <w:num w:numId="17" w16cid:durableId="1055664160">
    <w:abstractNumId w:val="9"/>
  </w:num>
  <w:num w:numId="18" w16cid:durableId="236942076">
    <w:abstractNumId w:val="0"/>
  </w:num>
  <w:num w:numId="19" w16cid:durableId="1851406540">
    <w:abstractNumId w:val="26"/>
  </w:num>
  <w:num w:numId="20" w16cid:durableId="1601991789">
    <w:abstractNumId w:val="27"/>
  </w:num>
  <w:num w:numId="21" w16cid:durableId="1358114877">
    <w:abstractNumId w:val="28"/>
  </w:num>
  <w:num w:numId="22" w16cid:durableId="717045180">
    <w:abstractNumId w:val="46"/>
  </w:num>
  <w:num w:numId="23" w16cid:durableId="403915048">
    <w:abstractNumId w:val="24"/>
  </w:num>
  <w:num w:numId="24" w16cid:durableId="1619526199">
    <w:abstractNumId w:val="45"/>
  </w:num>
  <w:num w:numId="25" w16cid:durableId="299844292">
    <w:abstractNumId w:val="16"/>
  </w:num>
  <w:num w:numId="26" w16cid:durableId="554586293">
    <w:abstractNumId w:val="48"/>
  </w:num>
  <w:num w:numId="27" w16cid:durableId="1798714893">
    <w:abstractNumId w:val="39"/>
  </w:num>
  <w:num w:numId="28" w16cid:durableId="1498040298">
    <w:abstractNumId w:val="34"/>
  </w:num>
  <w:num w:numId="29" w16cid:durableId="2059014534">
    <w:abstractNumId w:val="19"/>
  </w:num>
  <w:num w:numId="30" w16cid:durableId="838929736">
    <w:abstractNumId w:val="22"/>
  </w:num>
  <w:num w:numId="31" w16cid:durableId="223874517">
    <w:abstractNumId w:val="38"/>
  </w:num>
  <w:num w:numId="32" w16cid:durableId="894387419">
    <w:abstractNumId w:val="32"/>
  </w:num>
  <w:num w:numId="33" w16cid:durableId="686491707">
    <w:abstractNumId w:val="36"/>
  </w:num>
  <w:num w:numId="34" w16cid:durableId="1637755195">
    <w:abstractNumId w:val="3"/>
  </w:num>
  <w:num w:numId="35" w16cid:durableId="1173951066">
    <w:abstractNumId w:val="42"/>
  </w:num>
  <w:num w:numId="36" w16cid:durableId="1433092868">
    <w:abstractNumId w:val="2"/>
  </w:num>
  <w:num w:numId="37" w16cid:durableId="657153544">
    <w:abstractNumId w:val="17"/>
  </w:num>
  <w:num w:numId="38" w16cid:durableId="1043746747">
    <w:abstractNumId w:val="4"/>
  </w:num>
  <w:num w:numId="39" w16cid:durableId="1721857439">
    <w:abstractNumId w:val="35"/>
  </w:num>
  <w:num w:numId="40" w16cid:durableId="2053191233">
    <w:abstractNumId w:val="5"/>
  </w:num>
  <w:num w:numId="41" w16cid:durableId="956639887">
    <w:abstractNumId w:val="44"/>
  </w:num>
  <w:num w:numId="42" w16cid:durableId="632755699">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activeWritingStyle w:appName="MSWord" w:lang="en-AU" w:vendorID="64" w:dllVersion="0" w:nlCheck="1" w:checkStyle="0"/>
  <w:activeWritingStyle w:appName="MSWord" w:lang="en-GB" w:vendorID="64" w:dllVersion="0"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61"/>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xNDQ2M7e0NDSzsDRV0lEKTi0uzszPAykwrgUAGtNt8SwAAAA="/>
    <w:docVar w:name="secNum" w:val="0"/>
  </w:docVars>
  <w:rsids>
    <w:rsidRoot w:val="005E2272"/>
    <w:rsid w:val="00000AC5"/>
    <w:rsid w:val="00000BB2"/>
    <w:rsid w:val="00001393"/>
    <w:rsid w:val="00002026"/>
    <w:rsid w:val="00002367"/>
    <w:rsid w:val="00002DC8"/>
    <w:rsid w:val="000044A0"/>
    <w:rsid w:val="000054FD"/>
    <w:rsid w:val="00005F3D"/>
    <w:rsid w:val="00006185"/>
    <w:rsid w:val="00007B26"/>
    <w:rsid w:val="00010A17"/>
    <w:rsid w:val="00011792"/>
    <w:rsid w:val="0001280E"/>
    <w:rsid w:val="00015010"/>
    <w:rsid w:val="00015397"/>
    <w:rsid w:val="00016272"/>
    <w:rsid w:val="00016380"/>
    <w:rsid w:val="00016DD3"/>
    <w:rsid w:val="00016E55"/>
    <w:rsid w:val="000170A2"/>
    <w:rsid w:val="000179B9"/>
    <w:rsid w:val="0002072D"/>
    <w:rsid w:val="00022AA7"/>
    <w:rsid w:val="0002335A"/>
    <w:rsid w:val="000246A9"/>
    <w:rsid w:val="000247BC"/>
    <w:rsid w:val="000249FC"/>
    <w:rsid w:val="00024ABE"/>
    <w:rsid w:val="00024B97"/>
    <w:rsid w:val="00027138"/>
    <w:rsid w:val="000304C1"/>
    <w:rsid w:val="000305C8"/>
    <w:rsid w:val="00030AB4"/>
    <w:rsid w:val="000311E4"/>
    <w:rsid w:val="00031311"/>
    <w:rsid w:val="0003193B"/>
    <w:rsid w:val="00031B96"/>
    <w:rsid w:val="00031EDA"/>
    <w:rsid w:val="000329A0"/>
    <w:rsid w:val="00033A66"/>
    <w:rsid w:val="00033B96"/>
    <w:rsid w:val="00034590"/>
    <w:rsid w:val="000348B8"/>
    <w:rsid w:val="0003563E"/>
    <w:rsid w:val="00036265"/>
    <w:rsid w:val="000367D1"/>
    <w:rsid w:val="00036E72"/>
    <w:rsid w:val="000371CC"/>
    <w:rsid w:val="000378A3"/>
    <w:rsid w:val="00043B5C"/>
    <w:rsid w:val="00044731"/>
    <w:rsid w:val="00044C9C"/>
    <w:rsid w:val="000453AB"/>
    <w:rsid w:val="00045493"/>
    <w:rsid w:val="000472A6"/>
    <w:rsid w:val="00050515"/>
    <w:rsid w:val="00051084"/>
    <w:rsid w:val="000510F6"/>
    <w:rsid w:val="00051AF5"/>
    <w:rsid w:val="000537AA"/>
    <w:rsid w:val="000539CF"/>
    <w:rsid w:val="00054E1A"/>
    <w:rsid w:val="000551ED"/>
    <w:rsid w:val="000552CF"/>
    <w:rsid w:val="000555BE"/>
    <w:rsid w:val="000564CF"/>
    <w:rsid w:val="00057174"/>
    <w:rsid w:val="00057801"/>
    <w:rsid w:val="00057FCB"/>
    <w:rsid w:val="000600D7"/>
    <w:rsid w:val="00061930"/>
    <w:rsid w:val="000646D5"/>
    <w:rsid w:val="00064BBF"/>
    <w:rsid w:val="000654E4"/>
    <w:rsid w:val="000679E3"/>
    <w:rsid w:val="00067ABB"/>
    <w:rsid w:val="00067CA0"/>
    <w:rsid w:val="00067EB8"/>
    <w:rsid w:val="000704DA"/>
    <w:rsid w:val="000707BE"/>
    <w:rsid w:val="00072644"/>
    <w:rsid w:val="000731E1"/>
    <w:rsid w:val="00073358"/>
    <w:rsid w:val="00074596"/>
    <w:rsid w:val="00074CE4"/>
    <w:rsid w:val="00075F07"/>
    <w:rsid w:val="00076E0F"/>
    <w:rsid w:val="00081198"/>
    <w:rsid w:val="00081E71"/>
    <w:rsid w:val="00082212"/>
    <w:rsid w:val="000845F2"/>
    <w:rsid w:val="000847FA"/>
    <w:rsid w:val="0008617C"/>
    <w:rsid w:val="0008695E"/>
    <w:rsid w:val="0008727F"/>
    <w:rsid w:val="0008764A"/>
    <w:rsid w:val="00087C4B"/>
    <w:rsid w:val="000907F8"/>
    <w:rsid w:val="0009116E"/>
    <w:rsid w:val="00091C0F"/>
    <w:rsid w:val="00091C84"/>
    <w:rsid w:val="00091E2C"/>
    <w:rsid w:val="00092172"/>
    <w:rsid w:val="00092E82"/>
    <w:rsid w:val="00093F61"/>
    <w:rsid w:val="0009430E"/>
    <w:rsid w:val="00094A58"/>
    <w:rsid w:val="00094E23"/>
    <w:rsid w:val="00095BEB"/>
    <w:rsid w:val="00095F61"/>
    <w:rsid w:val="00095FCC"/>
    <w:rsid w:val="000975C1"/>
    <w:rsid w:val="00097AE3"/>
    <w:rsid w:val="000A0626"/>
    <w:rsid w:val="000A07C7"/>
    <w:rsid w:val="000A0B9A"/>
    <w:rsid w:val="000A2536"/>
    <w:rsid w:val="000A3958"/>
    <w:rsid w:val="000A52B6"/>
    <w:rsid w:val="000A66D0"/>
    <w:rsid w:val="000A6A11"/>
    <w:rsid w:val="000B08D9"/>
    <w:rsid w:val="000B17C2"/>
    <w:rsid w:val="000B1F10"/>
    <w:rsid w:val="000B2645"/>
    <w:rsid w:val="000B2773"/>
    <w:rsid w:val="000B4485"/>
    <w:rsid w:val="000B45E2"/>
    <w:rsid w:val="000B5BB1"/>
    <w:rsid w:val="000B6358"/>
    <w:rsid w:val="000B736B"/>
    <w:rsid w:val="000C0D18"/>
    <w:rsid w:val="000C147C"/>
    <w:rsid w:val="000C2621"/>
    <w:rsid w:val="000C2807"/>
    <w:rsid w:val="000C28A9"/>
    <w:rsid w:val="000C31F1"/>
    <w:rsid w:val="000C4DD0"/>
    <w:rsid w:val="000C5F36"/>
    <w:rsid w:val="000C6224"/>
    <w:rsid w:val="000C6E07"/>
    <w:rsid w:val="000C70FE"/>
    <w:rsid w:val="000C71C0"/>
    <w:rsid w:val="000C7892"/>
    <w:rsid w:val="000D0AA4"/>
    <w:rsid w:val="000D0FBB"/>
    <w:rsid w:val="000D1190"/>
    <w:rsid w:val="000D2801"/>
    <w:rsid w:val="000D3BA3"/>
    <w:rsid w:val="000D450E"/>
    <w:rsid w:val="000D5288"/>
    <w:rsid w:val="000D57F7"/>
    <w:rsid w:val="000D641A"/>
    <w:rsid w:val="000D6626"/>
    <w:rsid w:val="000D666E"/>
    <w:rsid w:val="000D72E0"/>
    <w:rsid w:val="000D73E7"/>
    <w:rsid w:val="000D795A"/>
    <w:rsid w:val="000E0084"/>
    <w:rsid w:val="000E1FBD"/>
    <w:rsid w:val="000E42FD"/>
    <w:rsid w:val="000E444B"/>
    <w:rsid w:val="000E473E"/>
    <w:rsid w:val="000E5104"/>
    <w:rsid w:val="000E55B8"/>
    <w:rsid w:val="000E6C7A"/>
    <w:rsid w:val="000E6E1E"/>
    <w:rsid w:val="000E7D56"/>
    <w:rsid w:val="000F01AA"/>
    <w:rsid w:val="000F10D7"/>
    <w:rsid w:val="000F1326"/>
    <w:rsid w:val="000F1805"/>
    <w:rsid w:val="000F2402"/>
    <w:rsid w:val="000F3D62"/>
    <w:rsid w:val="000F431A"/>
    <w:rsid w:val="000F4B2E"/>
    <w:rsid w:val="000F50C8"/>
    <w:rsid w:val="000F50D0"/>
    <w:rsid w:val="000F5C76"/>
    <w:rsid w:val="000F5DC4"/>
    <w:rsid w:val="000F5E0E"/>
    <w:rsid w:val="000F6308"/>
    <w:rsid w:val="000F6EC8"/>
    <w:rsid w:val="000F7231"/>
    <w:rsid w:val="0010082A"/>
    <w:rsid w:val="00101731"/>
    <w:rsid w:val="00101A44"/>
    <w:rsid w:val="00102493"/>
    <w:rsid w:val="001025B2"/>
    <w:rsid w:val="00102ABA"/>
    <w:rsid w:val="00104A97"/>
    <w:rsid w:val="00104C3C"/>
    <w:rsid w:val="00104F1E"/>
    <w:rsid w:val="00105D42"/>
    <w:rsid w:val="00106501"/>
    <w:rsid w:val="00106D42"/>
    <w:rsid w:val="001075A3"/>
    <w:rsid w:val="00107D36"/>
    <w:rsid w:val="001116AB"/>
    <w:rsid w:val="00113A7F"/>
    <w:rsid w:val="00113C40"/>
    <w:rsid w:val="0011537F"/>
    <w:rsid w:val="001168A4"/>
    <w:rsid w:val="00116F12"/>
    <w:rsid w:val="00117DF6"/>
    <w:rsid w:val="00120B5F"/>
    <w:rsid w:val="00121A12"/>
    <w:rsid w:val="00121C64"/>
    <w:rsid w:val="00122197"/>
    <w:rsid w:val="0012346C"/>
    <w:rsid w:val="00123B8A"/>
    <w:rsid w:val="00127D94"/>
    <w:rsid w:val="00130E76"/>
    <w:rsid w:val="00131A90"/>
    <w:rsid w:val="00132128"/>
    <w:rsid w:val="0013236F"/>
    <w:rsid w:val="00132498"/>
    <w:rsid w:val="00135153"/>
    <w:rsid w:val="001353B4"/>
    <w:rsid w:val="001354CA"/>
    <w:rsid w:val="00137571"/>
    <w:rsid w:val="00137C1B"/>
    <w:rsid w:val="00137EE9"/>
    <w:rsid w:val="00140CCC"/>
    <w:rsid w:val="00141F1E"/>
    <w:rsid w:val="00142208"/>
    <w:rsid w:val="0014223C"/>
    <w:rsid w:val="001435B9"/>
    <w:rsid w:val="00145DCC"/>
    <w:rsid w:val="00145F0F"/>
    <w:rsid w:val="0014743A"/>
    <w:rsid w:val="00147664"/>
    <w:rsid w:val="00147B3B"/>
    <w:rsid w:val="00151920"/>
    <w:rsid w:val="00151BDB"/>
    <w:rsid w:val="0015291B"/>
    <w:rsid w:val="001532F1"/>
    <w:rsid w:val="00153E9D"/>
    <w:rsid w:val="00154F18"/>
    <w:rsid w:val="001559BB"/>
    <w:rsid w:val="001605EB"/>
    <w:rsid w:val="0016062C"/>
    <w:rsid w:val="00160793"/>
    <w:rsid w:val="00161F51"/>
    <w:rsid w:val="00162154"/>
    <w:rsid w:val="00162275"/>
    <w:rsid w:val="00163D6A"/>
    <w:rsid w:val="00163E80"/>
    <w:rsid w:val="00165201"/>
    <w:rsid w:val="0016582C"/>
    <w:rsid w:val="00165957"/>
    <w:rsid w:val="00166A94"/>
    <w:rsid w:val="00167C57"/>
    <w:rsid w:val="00167D90"/>
    <w:rsid w:val="001708F4"/>
    <w:rsid w:val="00170EFC"/>
    <w:rsid w:val="00172DC8"/>
    <w:rsid w:val="001731DF"/>
    <w:rsid w:val="00175FFA"/>
    <w:rsid w:val="00176130"/>
    <w:rsid w:val="00177942"/>
    <w:rsid w:val="0018040E"/>
    <w:rsid w:val="00180B52"/>
    <w:rsid w:val="00180CE9"/>
    <w:rsid w:val="001820BA"/>
    <w:rsid w:val="0018411D"/>
    <w:rsid w:val="00184DEA"/>
    <w:rsid w:val="00185834"/>
    <w:rsid w:val="00185D1A"/>
    <w:rsid w:val="00185D3F"/>
    <w:rsid w:val="0018638E"/>
    <w:rsid w:val="00186F47"/>
    <w:rsid w:val="00190000"/>
    <w:rsid w:val="00190510"/>
    <w:rsid w:val="00190918"/>
    <w:rsid w:val="00190CE3"/>
    <w:rsid w:val="00190DFA"/>
    <w:rsid w:val="00191799"/>
    <w:rsid w:val="0019282A"/>
    <w:rsid w:val="00193152"/>
    <w:rsid w:val="00195173"/>
    <w:rsid w:val="001966D2"/>
    <w:rsid w:val="0019768B"/>
    <w:rsid w:val="001A00B5"/>
    <w:rsid w:val="001A0488"/>
    <w:rsid w:val="001A1637"/>
    <w:rsid w:val="001A1C82"/>
    <w:rsid w:val="001A23D3"/>
    <w:rsid w:val="001A2903"/>
    <w:rsid w:val="001A31B9"/>
    <w:rsid w:val="001A446B"/>
    <w:rsid w:val="001A4D5A"/>
    <w:rsid w:val="001A575F"/>
    <w:rsid w:val="001B0444"/>
    <w:rsid w:val="001B0E70"/>
    <w:rsid w:val="001B16F2"/>
    <w:rsid w:val="001B2BA6"/>
    <w:rsid w:val="001B310A"/>
    <w:rsid w:val="001B4F20"/>
    <w:rsid w:val="001B57C4"/>
    <w:rsid w:val="001B6809"/>
    <w:rsid w:val="001B6B71"/>
    <w:rsid w:val="001C1FAC"/>
    <w:rsid w:val="001C236C"/>
    <w:rsid w:val="001C26FE"/>
    <w:rsid w:val="001C3BE9"/>
    <w:rsid w:val="001C3D67"/>
    <w:rsid w:val="001C4C51"/>
    <w:rsid w:val="001C512E"/>
    <w:rsid w:val="001C517E"/>
    <w:rsid w:val="001C54E8"/>
    <w:rsid w:val="001C6617"/>
    <w:rsid w:val="001D0E78"/>
    <w:rsid w:val="001D1A4D"/>
    <w:rsid w:val="001D1E1C"/>
    <w:rsid w:val="001D3116"/>
    <w:rsid w:val="001D3C6F"/>
    <w:rsid w:val="001D3D81"/>
    <w:rsid w:val="001D51A1"/>
    <w:rsid w:val="001D67A1"/>
    <w:rsid w:val="001D782B"/>
    <w:rsid w:val="001E199C"/>
    <w:rsid w:val="001E2ACE"/>
    <w:rsid w:val="001E51FC"/>
    <w:rsid w:val="001E7284"/>
    <w:rsid w:val="001E7740"/>
    <w:rsid w:val="001E7D7E"/>
    <w:rsid w:val="001F01AF"/>
    <w:rsid w:val="001F0420"/>
    <w:rsid w:val="001F0C00"/>
    <w:rsid w:val="001F0C34"/>
    <w:rsid w:val="001F15D0"/>
    <w:rsid w:val="001F22A0"/>
    <w:rsid w:val="001F27BF"/>
    <w:rsid w:val="001F2DEB"/>
    <w:rsid w:val="001F4395"/>
    <w:rsid w:val="001F6329"/>
    <w:rsid w:val="001F6514"/>
    <w:rsid w:val="001F6B3B"/>
    <w:rsid w:val="001F70D7"/>
    <w:rsid w:val="001F7AB6"/>
    <w:rsid w:val="001F7FF8"/>
    <w:rsid w:val="00200AD5"/>
    <w:rsid w:val="002032A8"/>
    <w:rsid w:val="002033F0"/>
    <w:rsid w:val="002039A2"/>
    <w:rsid w:val="00203B25"/>
    <w:rsid w:val="00204E32"/>
    <w:rsid w:val="00204F85"/>
    <w:rsid w:val="002074B1"/>
    <w:rsid w:val="002103B4"/>
    <w:rsid w:val="0021081E"/>
    <w:rsid w:val="002133F0"/>
    <w:rsid w:val="002135B1"/>
    <w:rsid w:val="00213D3B"/>
    <w:rsid w:val="0021518D"/>
    <w:rsid w:val="002202BF"/>
    <w:rsid w:val="002206A1"/>
    <w:rsid w:val="00220BA0"/>
    <w:rsid w:val="00221AA4"/>
    <w:rsid w:val="00223AE8"/>
    <w:rsid w:val="00224E7E"/>
    <w:rsid w:val="00226134"/>
    <w:rsid w:val="00226A29"/>
    <w:rsid w:val="002305BA"/>
    <w:rsid w:val="00230EDE"/>
    <w:rsid w:val="0023261F"/>
    <w:rsid w:val="002333EC"/>
    <w:rsid w:val="002341A8"/>
    <w:rsid w:val="002347AA"/>
    <w:rsid w:val="00234B4A"/>
    <w:rsid w:val="00235CC9"/>
    <w:rsid w:val="0023610C"/>
    <w:rsid w:val="00237904"/>
    <w:rsid w:val="00237AD2"/>
    <w:rsid w:val="00240620"/>
    <w:rsid w:val="0024094C"/>
    <w:rsid w:val="002414CE"/>
    <w:rsid w:val="0024247F"/>
    <w:rsid w:val="0024284A"/>
    <w:rsid w:val="00242D1F"/>
    <w:rsid w:val="00244588"/>
    <w:rsid w:val="00244B46"/>
    <w:rsid w:val="00247487"/>
    <w:rsid w:val="00250770"/>
    <w:rsid w:val="00250B7F"/>
    <w:rsid w:val="00250E24"/>
    <w:rsid w:val="0025109B"/>
    <w:rsid w:val="0025142E"/>
    <w:rsid w:val="0025189D"/>
    <w:rsid w:val="00252E0B"/>
    <w:rsid w:val="00254707"/>
    <w:rsid w:val="00254F69"/>
    <w:rsid w:val="00255AC0"/>
    <w:rsid w:val="00255B2E"/>
    <w:rsid w:val="00255CCB"/>
    <w:rsid w:val="00255D8F"/>
    <w:rsid w:val="00255DDB"/>
    <w:rsid w:val="00256CFD"/>
    <w:rsid w:val="002613CA"/>
    <w:rsid w:val="00261CD4"/>
    <w:rsid w:val="00262B2E"/>
    <w:rsid w:val="00263717"/>
    <w:rsid w:val="002640B7"/>
    <w:rsid w:val="00264D93"/>
    <w:rsid w:val="002651BF"/>
    <w:rsid w:val="00265B36"/>
    <w:rsid w:val="0026693F"/>
    <w:rsid w:val="002705B8"/>
    <w:rsid w:val="0027237B"/>
    <w:rsid w:val="002727A8"/>
    <w:rsid w:val="00272E79"/>
    <w:rsid w:val="002735E8"/>
    <w:rsid w:val="00273BEC"/>
    <w:rsid w:val="00274171"/>
    <w:rsid w:val="002746D5"/>
    <w:rsid w:val="00275757"/>
    <w:rsid w:val="00275BD6"/>
    <w:rsid w:val="00275D12"/>
    <w:rsid w:val="002767C9"/>
    <w:rsid w:val="002769E2"/>
    <w:rsid w:val="00276CB3"/>
    <w:rsid w:val="0027711A"/>
    <w:rsid w:val="00277426"/>
    <w:rsid w:val="0028049D"/>
    <w:rsid w:val="0028063A"/>
    <w:rsid w:val="002811D0"/>
    <w:rsid w:val="002818ED"/>
    <w:rsid w:val="00282A29"/>
    <w:rsid w:val="00283666"/>
    <w:rsid w:val="0028396C"/>
    <w:rsid w:val="002845D5"/>
    <w:rsid w:val="002849B6"/>
    <w:rsid w:val="002856D9"/>
    <w:rsid w:val="00287C61"/>
    <w:rsid w:val="002901B8"/>
    <w:rsid w:val="00291E1F"/>
    <w:rsid w:val="0029204F"/>
    <w:rsid w:val="0029262D"/>
    <w:rsid w:val="0029290A"/>
    <w:rsid w:val="00292FA0"/>
    <w:rsid w:val="00293638"/>
    <w:rsid w:val="00293E9B"/>
    <w:rsid w:val="0029411B"/>
    <w:rsid w:val="00294777"/>
    <w:rsid w:val="00294FD5"/>
    <w:rsid w:val="00295228"/>
    <w:rsid w:val="002957E2"/>
    <w:rsid w:val="00295C93"/>
    <w:rsid w:val="00295D50"/>
    <w:rsid w:val="002961E7"/>
    <w:rsid w:val="00297278"/>
    <w:rsid w:val="00297B1A"/>
    <w:rsid w:val="00297DD8"/>
    <w:rsid w:val="002A0747"/>
    <w:rsid w:val="002A2238"/>
    <w:rsid w:val="002A2C77"/>
    <w:rsid w:val="002A2E30"/>
    <w:rsid w:val="002A35C4"/>
    <w:rsid w:val="002A5912"/>
    <w:rsid w:val="002A5E81"/>
    <w:rsid w:val="002A60C2"/>
    <w:rsid w:val="002A679D"/>
    <w:rsid w:val="002A67C2"/>
    <w:rsid w:val="002A68B8"/>
    <w:rsid w:val="002A6E10"/>
    <w:rsid w:val="002A7609"/>
    <w:rsid w:val="002B0219"/>
    <w:rsid w:val="002B0286"/>
    <w:rsid w:val="002B0F9A"/>
    <w:rsid w:val="002B185A"/>
    <w:rsid w:val="002B2ABC"/>
    <w:rsid w:val="002B3B3A"/>
    <w:rsid w:val="002B41E5"/>
    <w:rsid w:val="002B5C99"/>
    <w:rsid w:val="002B69F8"/>
    <w:rsid w:val="002B6F83"/>
    <w:rsid w:val="002B7180"/>
    <w:rsid w:val="002B74DE"/>
    <w:rsid w:val="002C0874"/>
    <w:rsid w:val="002C163B"/>
    <w:rsid w:val="002C17A8"/>
    <w:rsid w:val="002C1893"/>
    <w:rsid w:val="002C1902"/>
    <w:rsid w:val="002C19E4"/>
    <w:rsid w:val="002C1A61"/>
    <w:rsid w:val="002C1F79"/>
    <w:rsid w:val="002C26CD"/>
    <w:rsid w:val="002C28CD"/>
    <w:rsid w:val="002C3772"/>
    <w:rsid w:val="002C37E1"/>
    <w:rsid w:val="002C44DD"/>
    <w:rsid w:val="002C458A"/>
    <w:rsid w:val="002C49CC"/>
    <w:rsid w:val="002C5128"/>
    <w:rsid w:val="002C5537"/>
    <w:rsid w:val="002C5D28"/>
    <w:rsid w:val="002C685A"/>
    <w:rsid w:val="002D0251"/>
    <w:rsid w:val="002D03E7"/>
    <w:rsid w:val="002D09C3"/>
    <w:rsid w:val="002D1B16"/>
    <w:rsid w:val="002D2673"/>
    <w:rsid w:val="002D2716"/>
    <w:rsid w:val="002D2BBE"/>
    <w:rsid w:val="002D3F23"/>
    <w:rsid w:val="002D493C"/>
    <w:rsid w:val="002D60A0"/>
    <w:rsid w:val="002D64B5"/>
    <w:rsid w:val="002D6AF8"/>
    <w:rsid w:val="002D71C3"/>
    <w:rsid w:val="002E02C7"/>
    <w:rsid w:val="002E02F8"/>
    <w:rsid w:val="002E1640"/>
    <w:rsid w:val="002E1BF7"/>
    <w:rsid w:val="002E2CC9"/>
    <w:rsid w:val="002E3AF4"/>
    <w:rsid w:val="002E440C"/>
    <w:rsid w:val="002E553A"/>
    <w:rsid w:val="002E6085"/>
    <w:rsid w:val="002E6A6F"/>
    <w:rsid w:val="002F073C"/>
    <w:rsid w:val="002F07BE"/>
    <w:rsid w:val="002F15D4"/>
    <w:rsid w:val="002F2436"/>
    <w:rsid w:val="002F3127"/>
    <w:rsid w:val="002F361D"/>
    <w:rsid w:val="002F39D9"/>
    <w:rsid w:val="002F46BE"/>
    <w:rsid w:val="002F48AD"/>
    <w:rsid w:val="002F65A6"/>
    <w:rsid w:val="002F7124"/>
    <w:rsid w:val="002F7D78"/>
    <w:rsid w:val="002F7EA1"/>
    <w:rsid w:val="003000E8"/>
    <w:rsid w:val="00300D3E"/>
    <w:rsid w:val="00301B57"/>
    <w:rsid w:val="00302C3A"/>
    <w:rsid w:val="003030AD"/>
    <w:rsid w:val="0030387F"/>
    <w:rsid w:val="00303DD4"/>
    <w:rsid w:val="003045AA"/>
    <w:rsid w:val="003058CD"/>
    <w:rsid w:val="00305DAC"/>
    <w:rsid w:val="003061A9"/>
    <w:rsid w:val="0030674F"/>
    <w:rsid w:val="003102CC"/>
    <w:rsid w:val="00310E3D"/>
    <w:rsid w:val="00311013"/>
    <w:rsid w:val="00311599"/>
    <w:rsid w:val="00311635"/>
    <w:rsid w:val="003120BC"/>
    <w:rsid w:val="00312BDD"/>
    <w:rsid w:val="00312DD4"/>
    <w:rsid w:val="00313DCC"/>
    <w:rsid w:val="003141C7"/>
    <w:rsid w:val="003148D9"/>
    <w:rsid w:val="0031605C"/>
    <w:rsid w:val="003164C5"/>
    <w:rsid w:val="0031686A"/>
    <w:rsid w:val="003170E5"/>
    <w:rsid w:val="0031717A"/>
    <w:rsid w:val="0032062B"/>
    <w:rsid w:val="003213A5"/>
    <w:rsid w:val="003213B8"/>
    <w:rsid w:val="00322080"/>
    <w:rsid w:val="0032290D"/>
    <w:rsid w:val="00322B6D"/>
    <w:rsid w:val="00324B8D"/>
    <w:rsid w:val="00324DAA"/>
    <w:rsid w:val="00324E35"/>
    <w:rsid w:val="00325A69"/>
    <w:rsid w:val="00327A6D"/>
    <w:rsid w:val="00327C01"/>
    <w:rsid w:val="00330A1E"/>
    <w:rsid w:val="00330BD8"/>
    <w:rsid w:val="003318CA"/>
    <w:rsid w:val="00332111"/>
    <w:rsid w:val="00332F74"/>
    <w:rsid w:val="003332E1"/>
    <w:rsid w:val="003343C4"/>
    <w:rsid w:val="003348CB"/>
    <w:rsid w:val="00334D42"/>
    <w:rsid w:val="00334DE5"/>
    <w:rsid w:val="00335BAC"/>
    <w:rsid w:val="0033748E"/>
    <w:rsid w:val="00340234"/>
    <w:rsid w:val="00342B53"/>
    <w:rsid w:val="0034373A"/>
    <w:rsid w:val="00343986"/>
    <w:rsid w:val="00344437"/>
    <w:rsid w:val="00344971"/>
    <w:rsid w:val="00344B26"/>
    <w:rsid w:val="0034664A"/>
    <w:rsid w:val="003466BA"/>
    <w:rsid w:val="00347192"/>
    <w:rsid w:val="00347F09"/>
    <w:rsid w:val="003510EC"/>
    <w:rsid w:val="00351E2C"/>
    <w:rsid w:val="00352A70"/>
    <w:rsid w:val="003536D3"/>
    <w:rsid w:val="00357348"/>
    <w:rsid w:val="00357FF5"/>
    <w:rsid w:val="003605CF"/>
    <w:rsid w:val="0036164C"/>
    <w:rsid w:val="003616B6"/>
    <w:rsid w:val="00361768"/>
    <w:rsid w:val="00361F0B"/>
    <w:rsid w:val="00362068"/>
    <w:rsid w:val="00363E9C"/>
    <w:rsid w:val="00363F54"/>
    <w:rsid w:val="0036574A"/>
    <w:rsid w:val="00366160"/>
    <w:rsid w:val="003662E1"/>
    <w:rsid w:val="00366C69"/>
    <w:rsid w:val="003671DC"/>
    <w:rsid w:val="00367BF7"/>
    <w:rsid w:val="00367FBA"/>
    <w:rsid w:val="00370D5B"/>
    <w:rsid w:val="0037210D"/>
    <w:rsid w:val="00372167"/>
    <w:rsid w:val="00372259"/>
    <w:rsid w:val="00373CAB"/>
    <w:rsid w:val="00374753"/>
    <w:rsid w:val="00374AED"/>
    <w:rsid w:val="00374B68"/>
    <w:rsid w:val="00375724"/>
    <w:rsid w:val="00375A2D"/>
    <w:rsid w:val="00375CE2"/>
    <w:rsid w:val="003772D9"/>
    <w:rsid w:val="003774E6"/>
    <w:rsid w:val="00377887"/>
    <w:rsid w:val="00377D2D"/>
    <w:rsid w:val="00380FC1"/>
    <w:rsid w:val="00381A4B"/>
    <w:rsid w:val="00381B40"/>
    <w:rsid w:val="00382DC5"/>
    <w:rsid w:val="003849B4"/>
    <w:rsid w:val="00384AFC"/>
    <w:rsid w:val="003866F7"/>
    <w:rsid w:val="003877DE"/>
    <w:rsid w:val="00390302"/>
    <w:rsid w:val="00390B43"/>
    <w:rsid w:val="003913E6"/>
    <w:rsid w:val="00391F3F"/>
    <w:rsid w:val="00392063"/>
    <w:rsid w:val="00393580"/>
    <w:rsid w:val="00393C1E"/>
    <w:rsid w:val="00393FF5"/>
    <w:rsid w:val="00394FCB"/>
    <w:rsid w:val="0039708E"/>
    <w:rsid w:val="00397B8A"/>
    <w:rsid w:val="003A03D3"/>
    <w:rsid w:val="003A2C17"/>
    <w:rsid w:val="003A328C"/>
    <w:rsid w:val="003A3B85"/>
    <w:rsid w:val="003A5302"/>
    <w:rsid w:val="003A5477"/>
    <w:rsid w:val="003A6878"/>
    <w:rsid w:val="003A6B34"/>
    <w:rsid w:val="003A6BA4"/>
    <w:rsid w:val="003A774E"/>
    <w:rsid w:val="003B001F"/>
    <w:rsid w:val="003B04B7"/>
    <w:rsid w:val="003B0E97"/>
    <w:rsid w:val="003B19D1"/>
    <w:rsid w:val="003B1C0E"/>
    <w:rsid w:val="003B1D06"/>
    <w:rsid w:val="003B2412"/>
    <w:rsid w:val="003B3001"/>
    <w:rsid w:val="003B3841"/>
    <w:rsid w:val="003B5A14"/>
    <w:rsid w:val="003B6737"/>
    <w:rsid w:val="003B6B95"/>
    <w:rsid w:val="003B7457"/>
    <w:rsid w:val="003B7F17"/>
    <w:rsid w:val="003C0D26"/>
    <w:rsid w:val="003C110D"/>
    <w:rsid w:val="003C1292"/>
    <w:rsid w:val="003C1A45"/>
    <w:rsid w:val="003C3AD0"/>
    <w:rsid w:val="003C3F2D"/>
    <w:rsid w:val="003C4412"/>
    <w:rsid w:val="003C4792"/>
    <w:rsid w:val="003C56DF"/>
    <w:rsid w:val="003C659A"/>
    <w:rsid w:val="003C65AC"/>
    <w:rsid w:val="003C7080"/>
    <w:rsid w:val="003C7332"/>
    <w:rsid w:val="003D07ED"/>
    <w:rsid w:val="003D0994"/>
    <w:rsid w:val="003D0EA6"/>
    <w:rsid w:val="003D0F25"/>
    <w:rsid w:val="003D1074"/>
    <w:rsid w:val="003D111F"/>
    <w:rsid w:val="003D1FF0"/>
    <w:rsid w:val="003D20CA"/>
    <w:rsid w:val="003D2272"/>
    <w:rsid w:val="003D37DB"/>
    <w:rsid w:val="003D455D"/>
    <w:rsid w:val="003D45B3"/>
    <w:rsid w:val="003D6234"/>
    <w:rsid w:val="003D64F0"/>
    <w:rsid w:val="003D69F0"/>
    <w:rsid w:val="003D6FBA"/>
    <w:rsid w:val="003D7744"/>
    <w:rsid w:val="003E0A2C"/>
    <w:rsid w:val="003E0A45"/>
    <w:rsid w:val="003E298D"/>
    <w:rsid w:val="003E3F37"/>
    <w:rsid w:val="003E3FA1"/>
    <w:rsid w:val="003E55F7"/>
    <w:rsid w:val="003E571B"/>
    <w:rsid w:val="003E5BBE"/>
    <w:rsid w:val="003E65FD"/>
    <w:rsid w:val="003E6A47"/>
    <w:rsid w:val="003E6AFF"/>
    <w:rsid w:val="003E6DF2"/>
    <w:rsid w:val="003F2459"/>
    <w:rsid w:val="003F54E8"/>
    <w:rsid w:val="003F561B"/>
    <w:rsid w:val="003F58A3"/>
    <w:rsid w:val="003F6293"/>
    <w:rsid w:val="003F675B"/>
    <w:rsid w:val="003F69B5"/>
    <w:rsid w:val="003F6E2B"/>
    <w:rsid w:val="003F7171"/>
    <w:rsid w:val="004006C7"/>
    <w:rsid w:val="004016DA"/>
    <w:rsid w:val="00402F57"/>
    <w:rsid w:val="00402FF4"/>
    <w:rsid w:val="00403A10"/>
    <w:rsid w:val="00404035"/>
    <w:rsid w:val="004048BE"/>
    <w:rsid w:val="004059A6"/>
    <w:rsid w:val="004061F1"/>
    <w:rsid w:val="00406E4B"/>
    <w:rsid w:val="00407470"/>
    <w:rsid w:val="004076DB"/>
    <w:rsid w:val="00407AF3"/>
    <w:rsid w:val="00407B45"/>
    <w:rsid w:val="00410517"/>
    <w:rsid w:val="004107D6"/>
    <w:rsid w:val="0041095D"/>
    <w:rsid w:val="00411148"/>
    <w:rsid w:val="00411822"/>
    <w:rsid w:val="00412586"/>
    <w:rsid w:val="004135B6"/>
    <w:rsid w:val="0041394B"/>
    <w:rsid w:val="00414325"/>
    <w:rsid w:val="00414F19"/>
    <w:rsid w:val="0041746C"/>
    <w:rsid w:val="00420060"/>
    <w:rsid w:val="0042146B"/>
    <w:rsid w:val="00421D74"/>
    <w:rsid w:val="004222F7"/>
    <w:rsid w:val="00422BDB"/>
    <w:rsid w:val="00422D2B"/>
    <w:rsid w:val="00423236"/>
    <w:rsid w:val="0042341F"/>
    <w:rsid w:val="004239DE"/>
    <w:rsid w:val="00423B93"/>
    <w:rsid w:val="0042453F"/>
    <w:rsid w:val="00425581"/>
    <w:rsid w:val="00426EE5"/>
    <w:rsid w:val="00427867"/>
    <w:rsid w:val="00431306"/>
    <w:rsid w:val="004319D2"/>
    <w:rsid w:val="00431E3B"/>
    <w:rsid w:val="00432195"/>
    <w:rsid w:val="0043473A"/>
    <w:rsid w:val="0043708C"/>
    <w:rsid w:val="004370D3"/>
    <w:rsid w:val="004371F1"/>
    <w:rsid w:val="00437533"/>
    <w:rsid w:val="00441A80"/>
    <w:rsid w:val="00442916"/>
    <w:rsid w:val="004435EC"/>
    <w:rsid w:val="0044417A"/>
    <w:rsid w:val="00444DAF"/>
    <w:rsid w:val="0044561F"/>
    <w:rsid w:val="00446B35"/>
    <w:rsid w:val="004475CD"/>
    <w:rsid w:val="004475D8"/>
    <w:rsid w:val="00447BA0"/>
    <w:rsid w:val="0045075D"/>
    <w:rsid w:val="00451821"/>
    <w:rsid w:val="004519ED"/>
    <w:rsid w:val="00452B83"/>
    <w:rsid w:val="00454962"/>
    <w:rsid w:val="004554F9"/>
    <w:rsid w:val="004558F9"/>
    <w:rsid w:val="004562EC"/>
    <w:rsid w:val="00456341"/>
    <w:rsid w:val="00457B2F"/>
    <w:rsid w:val="00457F44"/>
    <w:rsid w:val="00460294"/>
    <w:rsid w:val="00460B80"/>
    <w:rsid w:val="00460D2B"/>
    <w:rsid w:val="00461A8C"/>
    <w:rsid w:val="00462A0A"/>
    <w:rsid w:val="004645E2"/>
    <w:rsid w:val="00465DD1"/>
    <w:rsid w:val="00466611"/>
    <w:rsid w:val="004670EF"/>
    <w:rsid w:val="004672FE"/>
    <w:rsid w:val="00470173"/>
    <w:rsid w:val="00471B85"/>
    <w:rsid w:val="00471BC1"/>
    <w:rsid w:val="00471E62"/>
    <w:rsid w:val="00472783"/>
    <w:rsid w:val="00473529"/>
    <w:rsid w:val="004745F5"/>
    <w:rsid w:val="00474DB2"/>
    <w:rsid w:val="00475F8C"/>
    <w:rsid w:val="00475FE1"/>
    <w:rsid w:val="00476DAD"/>
    <w:rsid w:val="004779F0"/>
    <w:rsid w:val="00477A12"/>
    <w:rsid w:val="00480347"/>
    <w:rsid w:val="004803F2"/>
    <w:rsid w:val="00480D55"/>
    <w:rsid w:val="00480ECC"/>
    <w:rsid w:val="0048112E"/>
    <w:rsid w:val="00482091"/>
    <w:rsid w:val="00482285"/>
    <w:rsid w:val="00482775"/>
    <w:rsid w:val="00482793"/>
    <w:rsid w:val="00482898"/>
    <w:rsid w:val="00482EE6"/>
    <w:rsid w:val="004836BF"/>
    <w:rsid w:val="004852B1"/>
    <w:rsid w:val="00485893"/>
    <w:rsid w:val="00485EA9"/>
    <w:rsid w:val="00486A05"/>
    <w:rsid w:val="0048713B"/>
    <w:rsid w:val="00487250"/>
    <w:rsid w:val="00490927"/>
    <w:rsid w:val="00490B7E"/>
    <w:rsid w:val="00491207"/>
    <w:rsid w:val="0049124D"/>
    <w:rsid w:val="00492E6F"/>
    <w:rsid w:val="004930C5"/>
    <w:rsid w:val="004955B3"/>
    <w:rsid w:val="0049566A"/>
    <w:rsid w:val="0049768B"/>
    <w:rsid w:val="0049774B"/>
    <w:rsid w:val="00497B5D"/>
    <w:rsid w:val="004A0AB5"/>
    <w:rsid w:val="004A13CE"/>
    <w:rsid w:val="004A18D9"/>
    <w:rsid w:val="004A23DA"/>
    <w:rsid w:val="004A323D"/>
    <w:rsid w:val="004A39F3"/>
    <w:rsid w:val="004A4DCF"/>
    <w:rsid w:val="004A52E9"/>
    <w:rsid w:val="004A52F2"/>
    <w:rsid w:val="004A717B"/>
    <w:rsid w:val="004A792B"/>
    <w:rsid w:val="004B0A4D"/>
    <w:rsid w:val="004B249C"/>
    <w:rsid w:val="004B3942"/>
    <w:rsid w:val="004B40D1"/>
    <w:rsid w:val="004B457B"/>
    <w:rsid w:val="004B5D0E"/>
    <w:rsid w:val="004B6F2A"/>
    <w:rsid w:val="004C03BB"/>
    <w:rsid w:val="004C08BB"/>
    <w:rsid w:val="004C15BD"/>
    <w:rsid w:val="004C16ED"/>
    <w:rsid w:val="004C2053"/>
    <w:rsid w:val="004C4635"/>
    <w:rsid w:val="004C5571"/>
    <w:rsid w:val="004C5858"/>
    <w:rsid w:val="004C5C47"/>
    <w:rsid w:val="004C6D64"/>
    <w:rsid w:val="004C7630"/>
    <w:rsid w:val="004C783B"/>
    <w:rsid w:val="004C79DC"/>
    <w:rsid w:val="004D0D1F"/>
    <w:rsid w:val="004D0D3D"/>
    <w:rsid w:val="004D12E0"/>
    <w:rsid w:val="004D17E4"/>
    <w:rsid w:val="004D1AD0"/>
    <w:rsid w:val="004D1E56"/>
    <w:rsid w:val="004D28DF"/>
    <w:rsid w:val="004D2921"/>
    <w:rsid w:val="004D325C"/>
    <w:rsid w:val="004D3800"/>
    <w:rsid w:val="004D3882"/>
    <w:rsid w:val="004D3F02"/>
    <w:rsid w:val="004D5116"/>
    <w:rsid w:val="004D5D98"/>
    <w:rsid w:val="004D71A2"/>
    <w:rsid w:val="004D7217"/>
    <w:rsid w:val="004D7599"/>
    <w:rsid w:val="004D7863"/>
    <w:rsid w:val="004E0DE8"/>
    <w:rsid w:val="004E12FE"/>
    <w:rsid w:val="004E1347"/>
    <w:rsid w:val="004E305C"/>
    <w:rsid w:val="004E3295"/>
    <w:rsid w:val="004E33AE"/>
    <w:rsid w:val="004E42B9"/>
    <w:rsid w:val="004E44F0"/>
    <w:rsid w:val="004E5A6C"/>
    <w:rsid w:val="004E707C"/>
    <w:rsid w:val="004F15B6"/>
    <w:rsid w:val="004F1F20"/>
    <w:rsid w:val="004F233E"/>
    <w:rsid w:val="004F39BD"/>
    <w:rsid w:val="004F51BC"/>
    <w:rsid w:val="004F5223"/>
    <w:rsid w:val="004F5341"/>
    <w:rsid w:val="004F58B6"/>
    <w:rsid w:val="005002CC"/>
    <w:rsid w:val="00500335"/>
    <w:rsid w:val="005005B5"/>
    <w:rsid w:val="00502310"/>
    <w:rsid w:val="00502815"/>
    <w:rsid w:val="00503488"/>
    <w:rsid w:val="0050359B"/>
    <w:rsid w:val="005043DD"/>
    <w:rsid w:val="0050542F"/>
    <w:rsid w:val="00510978"/>
    <w:rsid w:val="005115B7"/>
    <w:rsid w:val="00511C91"/>
    <w:rsid w:val="00513CEA"/>
    <w:rsid w:val="00513ED8"/>
    <w:rsid w:val="00514762"/>
    <w:rsid w:val="00514E9C"/>
    <w:rsid w:val="005156DC"/>
    <w:rsid w:val="00515D97"/>
    <w:rsid w:val="00516C05"/>
    <w:rsid w:val="00516EAA"/>
    <w:rsid w:val="00517ABE"/>
    <w:rsid w:val="00520132"/>
    <w:rsid w:val="00520D03"/>
    <w:rsid w:val="00521C62"/>
    <w:rsid w:val="005222D0"/>
    <w:rsid w:val="00522CBC"/>
    <w:rsid w:val="00522E57"/>
    <w:rsid w:val="00522EEA"/>
    <w:rsid w:val="00523B8F"/>
    <w:rsid w:val="00524B5E"/>
    <w:rsid w:val="00525BCA"/>
    <w:rsid w:val="00525C94"/>
    <w:rsid w:val="00526652"/>
    <w:rsid w:val="00526AA1"/>
    <w:rsid w:val="00526F5C"/>
    <w:rsid w:val="005277C6"/>
    <w:rsid w:val="00530157"/>
    <w:rsid w:val="0053152C"/>
    <w:rsid w:val="00532449"/>
    <w:rsid w:val="00533A2B"/>
    <w:rsid w:val="005349D4"/>
    <w:rsid w:val="005356BA"/>
    <w:rsid w:val="00535DA9"/>
    <w:rsid w:val="0053669A"/>
    <w:rsid w:val="005368F8"/>
    <w:rsid w:val="00537414"/>
    <w:rsid w:val="00537A3E"/>
    <w:rsid w:val="00540454"/>
    <w:rsid w:val="00540700"/>
    <w:rsid w:val="00540C8A"/>
    <w:rsid w:val="0054182D"/>
    <w:rsid w:val="00542235"/>
    <w:rsid w:val="00542A38"/>
    <w:rsid w:val="00542BE8"/>
    <w:rsid w:val="0054617A"/>
    <w:rsid w:val="005465A6"/>
    <w:rsid w:val="00547629"/>
    <w:rsid w:val="00547B42"/>
    <w:rsid w:val="00547B48"/>
    <w:rsid w:val="00550320"/>
    <w:rsid w:val="005508EC"/>
    <w:rsid w:val="00551001"/>
    <w:rsid w:val="00551595"/>
    <w:rsid w:val="0055293F"/>
    <w:rsid w:val="00552A7A"/>
    <w:rsid w:val="0055337C"/>
    <w:rsid w:val="00553A72"/>
    <w:rsid w:val="005540D1"/>
    <w:rsid w:val="0055450C"/>
    <w:rsid w:val="00554C04"/>
    <w:rsid w:val="00555AB6"/>
    <w:rsid w:val="00557314"/>
    <w:rsid w:val="005574D0"/>
    <w:rsid w:val="00557A0E"/>
    <w:rsid w:val="005619CD"/>
    <w:rsid w:val="005620A8"/>
    <w:rsid w:val="005625D0"/>
    <w:rsid w:val="00562777"/>
    <w:rsid w:val="00562B89"/>
    <w:rsid w:val="0056329F"/>
    <w:rsid w:val="00563596"/>
    <w:rsid w:val="00565321"/>
    <w:rsid w:val="00565F2C"/>
    <w:rsid w:val="005700E2"/>
    <w:rsid w:val="00571EA5"/>
    <w:rsid w:val="00573085"/>
    <w:rsid w:val="00573E97"/>
    <w:rsid w:val="005740B0"/>
    <w:rsid w:val="005741B0"/>
    <w:rsid w:val="0057588F"/>
    <w:rsid w:val="00576EFA"/>
    <w:rsid w:val="005800AD"/>
    <w:rsid w:val="005805FF"/>
    <w:rsid w:val="00582586"/>
    <w:rsid w:val="0058425E"/>
    <w:rsid w:val="005845D6"/>
    <w:rsid w:val="0058548C"/>
    <w:rsid w:val="00586B78"/>
    <w:rsid w:val="00587A72"/>
    <w:rsid w:val="005901C6"/>
    <w:rsid w:val="005906A3"/>
    <w:rsid w:val="0059169E"/>
    <w:rsid w:val="00591804"/>
    <w:rsid w:val="0059302A"/>
    <w:rsid w:val="005931BF"/>
    <w:rsid w:val="00594BAF"/>
    <w:rsid w:val="00595CBA"/>
    <w:rsid w:val="005A038F"/>
    <w:rsid w:val="005A15A7"/>
    <w:rsid w:val="005A1A06"/>
    <w:rsid w:val="005A2572"/>
    <w:rsid w:val="005A316A"/>
    <w:rsid w:val="005A3A92"/>
    <w:rsid w:val="005A3E81"/>
    <w:rsid w:val="005A53D7"/>
    <w:rsid w:val="005B0B7B"/>
    <w:rsid w:val="005B0FF5"/>
    <w:rsid w:val="005B120A"/>
    <w:rsid w:val="005B1536"/>
    <w:rsid w:val="005B23EE"/>
    <w:rsid w:val="005B49AF"/>
    <w:rsid w:val="005B5249"/>
    <w:rsid w:val="005B5B34"/>
    <w:rsid w:val="005B675C"/>
    <w:rsid w:val="005B6BB6"/>
    <w:rsid w:val="005B7BD9"/>
    <w:rsid w:val="005C0782"/>
    <w:rsid w:val="005C093D"/>
    <w:rsid w:val="005C0EBF"/>
    <w:rsid w:val="005C1946"/>
    <w:rsid w:val="005C1F2D"/>
    <w:rsid w:val="005C35AC"/>
    <w:rsid w:val="005C3C8B"/>
    <w:rsid w:val="005C46A4"/>
    <w:rsid w:val="005C530C"/>
    <w:rsid w:val="005C6D1F"/>
    <w:rsid w:val="005C6DED"/>
    <w:rsid w:val="005C7460"/>
    <w:rsid w:val="005D1315"/>
    <w:rsid w:val="005D3C1D"/>
    <w:rsid w:val="005D4560"/>
    <w:rsid w:val="005D5E47"/>
    <w:rsid w:val="005D6A09"/>
    <w:rsid w:val="005D792C"/>
    <w:rsid w:val="005E0125"/>
    <w:rsid w:val="005E1C66"/>
    <w:rsid w:val="005E1F26"/>
    <w:rsid w:val="005E2272"/>
    <w:rsid w:val="005E32B8"/>
    <w:rsid w:val="005E42AA"/>
    <w:rsid w:val="005E5012"/>
    <w:rsid w:val="005E579E"/>
    <w:rsid w:val="005E5D50"/>
    <w:rsid w:val="005E61F7"/>
    <w:rsid w:val="005E6228"/>
    <w:rsid w:val="005E653C"/>
    <w:rsid w:val="005E7899"/>
    <w:rsid w:val="005E7E16"/>
    <w:rsid w:val="005F0FFA"/>
    <w:rsid w:val="005F1828"/>
    <w:rsid w:val="005F1E33"/>
    <w:rsid w:val="005F3135"/>
    <w:rsid w:val="005F447C"/>
    <w:rsid w:val="005F464D"/>
    <w:rsid w:val="005F65C1"/>
    <w:rsid w:val="005F6DE2"/>
    <w:rsid w:val="005F7048"/>
    <w:rsid w:val="005F751A"/>
    <w:rsid w:val="005F77EC"/>
    <w:rsid w:val="00600129"/>
    <w:rsid w:val="00600E56"/>
    <w:rsid w:val="00601BBF"/>
    <w:rsid w:val="00602B03"/>
    <w:rsid w:val="00603CC3"/>
    <w:rsid w:val="00604B6A"/>
    <w:rsid w:val="00604DCB"/>
    <w:rsid w:val="00605999"/>
    <w:rsid w:val="00606258"/>
    <w:rsid w:val="00607089"/>
    <w:rsid w:val="00611DBE"/>
    <w:rsid w:val="006120CC"/>
    <w:rsid w:val="00613F5E"/>
    <w:rsid w:val="0061448E"/>
    <w:rsid w:val="006145A6"/>
    <w:rsid w:val="006145D3"/>
    <w:rsid w:val="0061469A"/>
    <w:rsid w:val="00615C6E"/>
    <w:rsid w:val="00616B9E"/>
    <w:rsid w:val="00616F4E"/>
    <w:rsid w:val="006208C7"/>
    <w:rsid w:val="00620F10"/>
    <w:rsid w:val="00621C33"/>
    <w:rsid w:val="00622159"/>
    <w:rsid w:val="00622674"/>
    <w:rsid w:val="00622853"/>
    <w:rsid w:val="00622FE2"/>
    <w:rsid w:val="00623027"/>
    <w:rsid w:val="00623670"/>
    <w:rsid w:val="00624AEE"/>
    <w:rsid w:val="006258D7"/>
    <w:rsid w:val="00625E0D"/>
    <w:rsid w:val="006262A9"/>
    <w:rsid w:val="0063036E"/>
    <w:rsid w:val="00630420"/>
    <w:rsid w:val="00630C15"/>
    <w:rsid w:val="006317B6"/>
    <w:rsid w:val="00632FD2"/>
    <w:rsid w:val="006333A5"/>
    <w:rsid w:val="006337E1"/>
    <w:rsid w:val="00633B52"/>
    <w:rsid w:val="0063412F"/>
    <w:rsid w:val="00634C0E"/>
    <w:rsid w:val="006354B9"/>
    <w:rsid w:val="00636742"/>
    <w:rsid w:val="00636D8D"/>
    <w:rsid w:val="0063721B"/>
    <w:rsid w:val="00637D58"/>
    <w:rsid w:val="00637FE3"/>
    <w:rsid w:val="00640A14"/>
    <w:rsid w:val="00640E5E"/>
    <w:rsid w:val="006411D4"/>
    <w:rsid w:val="00641A6B"/>
    <w:rsid w:val="00641CEC"/>
    <w:rsid w:val="00641D1E"/>
    <w:rsid w:val="00642003"/>
    <w:rsid w:val="006421BF"/>
    <w:rsid w:val="00642A37"/>
    <w:rsid w:val="00642A4E"/>
    <w:rsid w:val="00643C8C"/>
    <w:rsid w:val="0064573D"/>
    <w:rsid w:val="006459B9"/>
    <w:rsid w:val="0064626E"/>
    <w:rsid w:val="0064665A"/>
    <w:rsid w:val="006466AA"/>
    <w:rsid w:val="006472F0"/>
    <w:rsid w:val="0064777D"/>
    <w:rsid w:val="006504E7"/>
    <w:rsid w:val="006505FB"/>
    <w:rsid w:val="00650D61"/>
    <w:rsid w:val="00650DE7"/>
    <w:rsid w:val="006517DD"/>
    <w:rsid w:val="00651896"/>
    <w:rsid w:val="00651B07"/>
    <w:rsid w:val="006521D1"/>
    <w:rsid w:val="00652DC4"/>
    <w:rsid w:val="00655B96"/>
    <w:rsid w:val="0065638D"/>
    <w:rsid w:val="0065653A"/>
    <w:rsid w:val="00656F98"/>
    <w:rsid w:val="00660A6F"/>
    <w:rsid w:val="006619C4"/>
    <w:rsid w:val="00662C8C"/>
    <w:rsid w:val="00663394"/>
    <w:rsid w:val="00665A85"/>
    <w:rsid w:val="0066640F"/>
    <w:rsid w:val="00667644"/>
    <w:rsid w:val="00670128"/>
    <w:rsid w:val="00670444"/>
    <w:rsid w:val="0067071A"/>
    <w:rsid w:val="00670DAF"/>
    <w:rsid w:val="006710B5"/>
    <w:rsid w:val="00671B51"/>
    <w:rsid w:val="00672A54"/>
    <w:rsid w:val="006746C8"/>
    <w:rsid w:val="0067486A"/>
    <w:rsid w:val="006767D5"/>
    <w:rsid w:val="0067752D"/>
    <w:rsid w:val="00677D22"/>
    <w:rsid w:val="00677E4D"/>
    <w:rsid w:val="00680774"/>
    <w:rsid w:val="00680B06"/>
    <w:rsid w:val="00682534"/>
    <w:rsid w:val="00682928"/>
    <w:rsid w:val="00683BF1"/>
    <w:rsid w:val="00683CFA"/>
    <w:rsid w:val="0068461A"/>
    <w:rsid w:val="00684C77"/>
    <w:rsid w:val="00684F83"/>
    <w:rsid w:val="00685278"/>
    <w:rsid w:val="00685951"/>
    <w:rsid w:val="00685D8A"/>
    <w:rsid w:val="006903AE"/>
    <w:rsid w:val="00690CBF"/>
    <w:rsid w:val="006918F7"/>
    <w:rsid w:val="00693D7C"/>
    <w:rsid w:val="00694409"/>
    <w:rsid w:val="006944BA"/>
    <w:rsid w:val="0069456D"/>
    <w:rsid w:val="00695273"/>
    <w:rsid w:val="006952E4"/>
    <w:rsid w:val="006954DA"/>
    <w:rsid w:val="00695D0C"/>
    <w:rsid w:val="006962FE"/>
    <w:rsid w:val="00696F74"/>
    <w:rsid w:val="006A0109"/>
    <w:rsid w:val="006A0896"/>
    <w:rsid w:val="006A1F76"/>
    <w:rsid w:val="006A2927"/>
    <w:rsid w:val="006A3C10"/>
    <w:rsid w:val="006A4247"/>
    <w:rsid w:val="006A490D"/>
    <w:rsid w:val="006A52AF"/>
    <w:rsid w:val="006A5832"/>
    <w:rsid w:val="006A5C2F"/>
    <w:rsid w:val="006A6353"/>
    <w:rsid w:val="006A6A4A"/>
    <w:rsid w:val="006A7C3F"/>
    <w:rsid w:val="006A7FA8"/>
    <w:rsid w:val="006B0D38"/>
    <w:rsid w:val="006B14A1"/>
    <w:rsid w:val="006B409A"/>
    <w:rsid w:val="006B4436"/>
    <w:rsid w:val="006B55DC"/>
    <w:rsid w:val="006B5A57"/>
    <w:rsid w:val="006B6433"/>
    <w:rsid w:val="006B6BC1"/>
    <w:rsid w:val="006B747D"/>
    <w:rsid w:val="006B7600"/>
    <w:rsid w:val="006C01A9"/>
    <w:rsid w:val="006C11B5"/>
    <w:rsid w:val="006C1580"/>
    <w:rsid w:val="006C170B"/>
    <w:rsid w:val="006C1744"/>
    <w:rsid w:val="006C17E6"/>
    <w:rsid w:val="006C233E"/>
    <w:rsid w:val="006C27EE"/>
    <w:rsid w:val="006C29ED"/>
    <w:rsid w:val="006C2AEC"/>
    <w:rsid w:val="006C2DA0"/>
    <w:rsid w:val="006C3A47"/>
    <w:rsid w:val="006C412E"/>
    <w:rsid w:val="006C4402"/>
    <w:rsid w:val="006C52C3"/>
    <w:rsid w:val="006C5762"/>
    <w:rsid w:val="006C58D5"/>
    <w:rsid w:val="006C5F78"/>
    <w:rsid w:val="006C768F"/>
    <w:rsid w:val="006D0189"/>
    <w:rsid w:val="006D0308"/>
    <w:rsid w:val="006D055B"/>
    <w:rsid w:val="006D05A7"/>
    <w:rsid w:val="006D1151"/>
    <w:rsid w:val="006D3B6C"/>
    <w:rsid w:val="006D4D77"/>
    <w:rsid w:val="006E1541"/>
    <w:rsid w:val="006E16B7"/>
    <w:rsid w:val="006E1A93"/>
    <w:rsid w:val="006E305B"/>
    <w:rsid w:val="006E324D"/>
    <w:rsid w:val="006E3D85"/>
    <w:rsid w:val="006E4106"/>
    <w:rsid w:val="006E4816"/>
    <w:rsid w:val="006E571F"/>
    <w:rsid w:val="006E6A1F"/>
    <w:rsid w:val="006E765E"/>
    <w:rsid w:val="006E787B"/>
    <w:rsid w:val="006E7DC3"/>
    <w:rsid w:val="006F10A8"/>
    <w:rsid w:val="006F10BB"/>
    <w:rsid w:val="006F2625"/>
    <w:rsid w:val="006F2882"/>
    <w:rsid w:val="006F2A65"/>
    <w:rsid w:val="006F3390"/>
    <w:rsid w:val="006F35C6"/>
    <w:rsid w:val="006F40C9"/>
    <w:rsid w:val="006F466B"/>
    <w:rsid w:val="006F5AA7"/>
    <w:rsid w:val="006F5AEE"/>
    <w:rsid w:val="006F6540"/>
    <w:rsid w:val="006F67FD"/>
    <w:rsid w:val="006F6D3A"/>
    <w:rsid w:val="006F70AF"/>
    <w:rsid w:val="007005BD"/>
    <w:rsid w:val="00700F9E"/>
    <w:rsid w:val="0070168B"/>
    <w:rsid w:val="00702AE1"/>
    <w:rsid w:val="00702F47"/>
    <w:rsid w:val="00703DCF"/>
    <w:rsid w:val="00703DD6"/>
    <w:rsid w:val="00704302"/>
    <w:rsid w:val="00705E6E"/>
    <w:rsid w:val="00706C79"/>
    <w:rsid w:val="007072BB"/>
    <w:rsid w:val="007074A9"/>
    <w:rsid w:val="00707E04"/>
    <w:rsid w:val="00710C43"/>
    <w:rsid w:val="00711582"/>
    <w:rsid w:val="00712C09"/>
    <w:rsid w:val="00714986"/>
    <w:rsid w:val="0071562A"/>
    <w:rsid w:val="00715AD4"/>
    <w:rsid w:val="00715F44"/>
    <w:rsid w:val="0071623D"/>
    <w:rsid w:val="007166D0"/>
    <w:rsid w:val="0072018E"/>
    <w:rsid w:val="00720726"/>
    <w:rsid w:val="00720DF7"/>
    <w:rsid w:val="007213B3"/>
    <w:rsid w:val="00723327"/>
    <w:rsid w:val="00723A17"/>
    <w:rsid w:val="0072484E"/>
    <w:rsid w:val="007248D2"/>
    <w:rsid w:val="0072574F"/>
    <w:rsid w:val="00730C2A"/>
    <w:rsid w:val="0073124B"/>
    <w:rsid w:val="00731D3C"/>
    <w:rsid w:val="00731E65"/>
    <w:rsid w:val="00733CDE"/>
    <w:rsid w:val="0073570A"/>
    <w:rsid w:val="00735790"/>
    <w:rsid w:val="0073631E"/>
    <w:rsid w:val="0073657C"/>
    <w:rsid w:val="0073695E"/>
    <w:rsid w:val="00736C29"/>
    <w:rsid w:val="00736DA2"/>
    <w:rsid w:val="007377ED"/>
    <w:rsid w:val="007379E1"/>
    <w:rsid w:val="007407CC"/>
    <w:rsid w:val="00741007"/>
    <w:rsid w:val="00741C3B"/>
    <w:rsid w:val="007427C6"/>
    <w:rsid w:val="00742C0A"/>
    <w:rsid w:val="00743EC2"/>
    <w:rsid w:val="00744B47"/>
    <w:rsid w:val="00746FDE"/>
    <w:rsid w:val="007474E9"/>
    <w:rsid w:val="00750EB1"/>
    <w:rsid w:val="00751D12"/>
    <w:rsid w:val="00752EC0"/>
    <w:rsid w:val="007532BA"/>
    <w:rsid w:val="0075420B"/>
    <w:rsid w:val="00754862"/>
    <w:rsid w:val="007565A4"/>
    <w:rsid w:val="00756E6E"/>
    <w:rsid w:val="007575D9"/>
    <w:rsid w:val="007576B3"/>
    <w:rsid w:val="007578FC"/>
    <w:rsid w:val="007615E7"/>
    <w:rsid w:val="00761838"/>
    <w:rsid w:val="00761E4A"/>
    <w:rsid w:val="0076276C"/>
    <w:rsid w:val="00762850"/>
    <w:rsid w:val="00762A72"/>
    <w:rsid w:val="0076352A"/>
    <w:rsid w:val="0076491B"/>
    <w:rsid w:val="00765EB6"/>
    <w:rsid w:val="00766C18"/>
    <w:rsid w:val="00767563"/>
    <w:rsid w:val="00767B7A"/>
    <w:rsid w:val="00770A68"/>
    <w:rsid w:val="00770C3D"/>
    <w:rsid w:val="00771DEE"/>
    <w:rsid w:val="007721F6"/>
    <w:rsid w:val="00772658"/>
    <w:rsid w:val="00772B35"/>
    <w:rsid w:val="00773650"/>
    <w:rsid w:val="00773E7A"/>
    <w:rsid w:val="00773F15"/>
    <w:rsid w:val="00774125"/>
    <w:rsid w:val="007749B6"/>
    <w:rsid w:val="00774A1C"/>
    <w:rsid w:val="0077512F"/>
    <w:rsid w:val="0077551C"/>
    <w:rsid w:val="00775AD4"/>
    <w:rsid w:val="00775F00"/>
    <w:rsid w:val="00777864"/>
    <w:rsid w:val="007802BD"/>
    <w:rsid w:val="00781C8E"/>
    <w:rsid w:val="00781EB4"/>
    <w:rsid w:val="00783276"/>
    <w:rsid w:val="007837C5"/>
    <w:rsid w:val="00784207"/>
    <w:rsid w:val="00784E63"/>
    <w:rsid w:val="00785146"/>
    <w:rsid w:val="007866CC"/>
    <w:rsid w:val="00786BA5"/>
    <w:rsid w:val="00787845"/>
    <w:rsid w:val="00791AA9"/>
    <w:rsid w:val="00791C4E"/>
    <w:rsid w:val="00792101"/>
    <w:rsid w:val="00792660"/>
    <w:rsid w:val="00792FA4"/>
    <w:rsid w:val="0079337C"/>
    <w:rsid w:val="00794B8E"/>
    <w:rsid w:val="0079556A"/>
    <w:rsid w:val="007957D7"/>
    <w:rsid w:val="00795EF0"/>
    <w:rsid w:val="00796664"/>
    <w:rsid w:val="00797A82"/>
    <w:rsid w:val="007A0B26"/>
    <w:rsid w:val="007A2282"/>
    <w:rsid w:val="007A50B9"/>
    <w:rsid w:val="007A5F3E"/>
    <w:rsid w:val="007A6881"/>
    <w:rsid w:val="007A7F3E"/>
    <w:rsid w:val="007B1756"/>
    <w:rsid w:val="007B2279"/>
    <w:rsid w:val="007B373B"/>
    <w:rsid w:val="007B389A"/>
    <w:rsid w:val="007B453B"/>
    <w:rsid w:val="007B46E1"/>
    <w:rsid w:val="007B50AF"/>
    <w:rsid w:val="007B5389"/>
    <w:rsid w:val="007B5C58"/>
    <w:rsid w:val="007B61BD"/>
    <w:rsid w:val="007B70D0"/>
    <w:rsid w:val="007B7169"/>
    <w:rsid w:val="007B7F42"/>
    <w:rsid w:val="007C114A"/>
    <w:rsid w:val="007C1737"/>
    <w:rsid w:val="007C1EF9"/>
    <w:rsid w:val="007C3936"/>
    <w:rsid w:val="007C4BA3"/>
    <w:rsid w:val="007C5D44"/>
    <w:rsid w:val="007C774F"/>
    <w:rsid w:val="007C7AE1"/>
    <w:rsid w:val="007D00ED"/>
    <w:rsid w:val="007D0273"/>
    <w:rsid w:val="007D02CB"/>
    <w:rsid w:val="007D06DC"/>
    <w:rsid w:val="007D138D"/>
    <w:rsid w:val="007D17FF"/>
    <w:rsid w:val="007D265F"/>
    <w:rsid w:val="007D2D10"/>
    <w:rsid w:val="007D30E5"/>
    <w:rsid w:val="007D3539"/>
    <w:rsid w:val="007D3C69"/>
    <w:rsid w:val="007D419E"/>
    <w:rsid w:val="007D5222"/>
    <w:rsid w:val="007D5846"/>
    <w:rsid w:val="007D5D77"/>
    <w:rsid w:val="007D74BE"/>
    <w:rsid w:val="007D7553"/>
    <w:rsid w:val="007E0CD4"/>
    <w:rsid w:val="007E2793"/>
    <w:rsid w:val="007E2A13"/>
    <w:rsid w:val="007E4A4D"/>
    <w:rsid w:val="007E4AA4"/>
    <w:rsid w:val="007E4BE6"/>
    <w:rsid w:val="007E514B"/>
    <w:rsid w:val="007E5D9C"/>
    <w:rsid w:val="007E5F02"/>
    <w:rsid w:val="007E67F6"/>
    <w:rsid w:val="007E7218"/>
    <w:rsid w:val="007E7443"/>
    <w:rsid w:val="007E7C23"/>
    <w:rsid w:val="007F05C7"/>
    <w:rsid w:val="007F2599"/>
    <w:rsid w:val="007F43A0"/>
    <w:rsid w:val="007F5586"/>
    <w:rsid w:val="007F63EE"/>
    <w:rsid w:val="007F79D2"/>
    <w:rsid w:val="008004C5"/>
    <w:rsid w:val="00800545"/>
    <w:rsid w:val="0080117B"/>
    <w:rsid w:val="008015BA"/>
    <w:rsid w:val="0080180A"/>
    <w:rsid w:val="00802047"/>
    <w:rsid w:val="00803585"/>
    <w:rsid w:val="00803B12"/>
    <w:rsid w:val="008043E5"/>
    <w:rsid w:val="00805209"/>
    <w:rsid w:val="0080525F"/>
    <w:rsid w:val="0080621B"/>
    <w:rsid w:val="00807895"/>
    <w:rsid w:val="008107CD"/>
    <w:rsid w:val="0081212D"/>
    <w:rsid w:val="00812C8A"/>
    <w:rsid w:val="0081303D"/>
    <w:rsid w:val="008136BC"/>
    <w:rsid w:val="008142A9"/>
    <w:rsid w:val="00814875"/>
    <w:rsid w:val="00815AD7"/>
    <w:rsid w:val="008161F7"/>
    <w:rsid w:val="00817959"/>
    <w:rsid w:val="008200BA"/>
    <w:rsid w:val="008208A2"/>
    <w:rsid w:val="00820A02"/>
    <w:rsid w:val="00820C28"/>
    <w:rsid w:val="00820C8E"/>
    <w:rsid w:val="008211D4"/>
    <w:rsid w:val="00821B63"/>
    <w:rsid w:val="00822442"/>
    <w:rsid w:val="00822660"/>
    <w:rsid w:val="008227E5"/>
    <w:rsid w:val="00823415"/>
    <w:rsid w:val="008238B1"/>
    <w:rsid w:val="00823A7C"/>
    <w:rsid w:val="00823B3E"/>
    <w:rsid w:val="00823CF4"/>
    <w:rsid w:val="00824508"/>
    <w:rsid w:val="00824776"/>
    <w:rsid w:val="00824DFF"/>
    <w:rsid w:val="0082511E"/>
    <w:rsid w:val="00825325"/>
    <w:rsid w:val="00826035"/>
    <w:rsid w:val="00827576"/>
    <w:rsid w:val="0083068A"/>
    <w:rsid w:val="008307E6"/>
    <w:rsid w:val="00830E75"/>
    <w:rsid w:val="00830FF3"/>
    <w:rsid w:val="008311AC"/>
    <w:rsid w:val="00831F70"/>
    <w:rsid w:val="008341BA"/>
    <w:rsid w:val="0083484B"/>
    <w:rsid w:val="00834CA8"/>
    <w:rsid w:val="00835058"/>
    <w:rsid w:val="00836E2B"/>
    <w:rsid w:val="00837C49"/>
    <w:rsid w:val="00842720"/>
    <w:rsid w:val="008438F3"/>
    <w:rsid w:val="00844D8B"/>
    <w:rsid w:val="00846C71"/>
    <w:rsid w:val="00847D92"/>
    <w:rsid w:val="008501D7"/>
    <w:rsid w:val="008508D2"/>
    <w:rsid w:val="00851301"/>
    <w:rsid w:val="00851428"/>
    <w:rsid w:val="008525CC"/>
    <w:rsid w:val="008526DE"/>
    <w:rsid w:val="00853157"/>
    <w:rsid w:val="00853EB5"/>
    <w:rsid w:val="008558EC"/>
    <w:rsid w:val="00856DAB"/>
    <w:rsid w:val="00857B68"/>
    <w:rsid w:val="008603F6"/>
    <w:rsid w:val="00861035"/>
    <w:rsid w:val="008611E4"/>
    <w:rsid w:val="008638F2"/>
    <w:rsid w:val="00865328"/>
    <w:rsid w:val="008653A7"/>
    <w:rsid w:val="0086604E"/>
    <w:rsid w:val="00866C6B"/>
    <w:rsid w:val="00867136"/>
    <w:rsid w:val="00867772"/>
    <w:rsid w:val="008678CE"/>
    <w:rsid w:val="00867E1D"/>
    <w:rsid w:val="00870E04"/>
    <w:rsid w:val="00871897"/>
    <w:rsid w:val="00871C1F"/>
    <w:rsid w:val="00871F89"/>
    <w:rsid w:val="008730DF"/>
    <w:rsid w:val="00873FE6"/>
    <w:rsid w:val="008743B4"/>
    <w:rsid w:val="00874CAC"/>
    <w:rsid w:val="00875523"/>
    <w:rsid w:val="00875E75"/>
    <w:rsid w:val="008767C1"/>
    <w:rsid w:val="0088057F"/>
    <w:rsid w:val="00880F63"/>
    <w:rsid w:val="00881798"/>
    <w:rsid w:val="0088219E"/>
    <w:rsid w:val="00883378"/>
    <w:rsid w:val="00883B23"/>
    <w:rsid w:val="00884510"/>
    <w:rsid w:val="0088458C"/>
    <w:rsid w:val="00884F59"/>
    <w:rsid w:val="00886086"/>
    <w:rsid w:val="0088645A"/>
    <w:rsid w:val="008869F8"/>
    <w:rsid w:val="00886D9D"/>
    <w:rsid w:val="0088730D"/>
    <w:rsid w:val="00890124"/>
    <w:rsid w:val="0089022D"/>
    <w:rsid w:val="008909D6"/>
    <w:rsid w:val="008913C5"/>
    <w:rsid w:val="00891B1D"/>
    <w:rsid w:val="00891EF4"/>
    <w:rsid w:val="008920BB"/>
    <w:rsid w:val="00892349"/>
    <w:rsid w:val="00894734"/>
    <w:rsid w:val="00894D74"/>
    <w:rsid w:val="008955C3"/>
    <w:rsid w:val="008957F6"/>
    <w:rsid w:val="008960F3"/>
    <w:rsid w:val="00896D0C"/>
    <w:rsid w:val="008A0500"/>
    <w:rsid w:val="008A0649"/>
    <w:rsid w:val="008A1435"/>
    <w:rsid w:val="008A1F6A"/>
    <w:rsid w:val="008A2045"/>
    <w:rsid w:val="008A28AD"/>
    <w:rsid w:val="008A2CC0"/>
    <w:rsid w:val="008A3206"/>
    <w:rsid w:val="008A32CD"/>
    <w:rsid w:val="008A3911"/>
    <w:rsid w:val="008A4782"/>
    <w:rsid w:val="008A4F9C"/>
    <w:rsid w:val="008A4FB9"/>
    <w:rsid w:val="008A51F1"/>
    <w:rsid w:val="008A5389"/>
    <w:rsid w:val="008A55FD"/>
    <w:rsid w:val="008A714D"/>
    <w:rsid w:val="008B0A55"/>
    <w:rsid w:val="008B1BE0"/>
    <w:rsid w:val="008B2473"/>
    <w:rsid w:val="008B266C"/>
    <w:rsid w:val="008B3C94"/>
    <w:rsid w:val="008B5E7A"/>
    <w:rsid w:val="008B6059"/>
    <w:rsid w:val="008B758F"/>
    <w:rsid w:val="008C1131"/>
    <w:rsid w:val="008C158E"/>
    <w:rsid w:val="008C161A"/>
    <w:rsid w:val="008C25FC"/>
    <w:rsid w:val="008C371B"/>
    <w:rsid w:val="008C3875"/>
    <w:rsid w:val="008C3A48"/>
    <w:rsid w:val="008C3F32"/>
    <w:rsid w:val="008C4901"/>
    <w:rsid w:val="008C4AE5"/>
    <w:rsid w:val="008C518C"/>
    <w:rsid w:val="008C5D2C"/>
    <w:rsid w:val="008C6968"/>
    <w:rsid w:val="008C69C8"/>
    <w:rsid w:val="008C7CD7"/>
    <w:rsid w:val="008D02FB"/>
    <w:rsid w:val="008D227B"/>
    <w:rsid w:val="008D3479"/>
    <w:rsid w:val="008D41A2"/>
    <w:rsid w:val="008D4311"/>
    <w:rsid w:val="008D460D"/>
    <w:rsid w:val="008D4800"/>
    <w:rsid w:val="008D488B"/>
    <w:rsid w:val="008D4B65"/>
    <w:rsid w:val="008D5336"/>
    <w:rsid w:val="008D5C9C"/>
    <w:rsid w:val="008D623E"/>
    <w:rsid w:val="008D64DD"/>
    <w:rsid w:val="008D6C18"/>
    <w:rsid w:val="008D774C"/>
    <w:rsid w:val="008E00FB"/>
    <w:rsid w:val="008E0773"/>
    <w:rsid w:val="008E0BF7"/>
    <w:rsid w:val="008E0D39"/>
    <w:rsid w:val="008E133C"/>
    <w:rsid w:val="008E15CB"/>
    <w:rsid w:val="008E1905"/>
    <w:rsid w:val="008E2497"/>
    <w:rsid w:val="008E2B84"/>
    <w:rsid w:val="008E3367"/>
    <w:rsid w:val="008E3A0D"/>
    <w:rsid w:val="008E56F0"/>
    <w:rsid w:val="008E65A3"/>
    <w:rsid w:val="008E7023"/>
    <w:rsid w:val="008F00E3"/>
    <w:rsid w:val="008F0AF5"/>
    <w:rsid w:val="008F0DDE"/>
    <w:rsid w:val="008F11BB"/>
    <w:rsid w:val="008F1B68"/>
    <w:rsid w:val="008F301E"/>
    <w:rsid w:val="008F4558"/>
    <w:rsid w:val="008F504D"/>
    <w:rsid w:val="008F55EE"/>
    <w:rsid w:val="008F59E4"/>
    <w:rsid w:val="008F6466"/>
    <w:rsid w:val="008F6B76"/>
    <w:rsid w:val="008F6BD8"/>
    <w:rsid w:val="008F76DB"/>
    <w:rsid w:val="008F7749"/>
    <w:rsid w:val="0090367D"/>
    <w:rsid w:val="00903D28"/>
    <w:rsid w:val="00904BC9"/>
    <w:rsid w:val="00906AD6"/>
    <w:rsid w:val="0090773C"/>
    <w:rsid w:val="00907F9C"/>
    <w:rsid w:val="009103D1"/>
    <w:rsid w:val="00910950"/>
    <w:rsid w:val="009140B0"/>
    <w:rsid w:val="0091552D"/>
    <w:rsid w:val="00916815"/>
    <w:rsid w:val="0091700B"/>
    <w:rsid w:val="0091744A"/>
    <w:rsid w:val="00922205"/>
    <w:rsid w:val="00922AF9"/>
    <w:rsid w:val="009237CE"/>
    <w:rsid w:val="00924856"/>
    <w:rsid w:val="00924912"/>
    <w:rsid w:val="00925592"/>
    <w:rsid w:val="009264B9"/>
    <w:rsid w:val="009265C8"/>
    <w:rsid w:val="00926B8D"/>
    <w:rsid w:val="00926D62"/>
    <w:rsid w:val="009270A3"/>
    <w:rsid w:val="0093001A"/>
    <w:rsid w:val="009300B7"/>
    <w:rsid w:val="00930D82"/>
    <w:rsid w:val="0093200A"/>
    <w:rsid w:val="00932968"/>
    <w:rsid w:val="009329E8"/>
    <w:rsid w:val="00932F26"/>
    <w:rsid w:val="00934C81"/>
    <w:rsid w:val="00935186"/>
    <w:rsid w:val="00935223"/>
    <w:rsid w:val="00935DE1"/>
    <w:rsid w:val="00935EF8"/>
    <w:rsid w:val="00936380"/>
    <w:rsid w:val="00937346"/>
    <w:rsid w:val="00937891"/>
    <w:rsid w:val="00942040"/>
    <w:rsid w:val="009444DA"/>
    <w:rsid w:val="0094506E"/>
    <w:rsid w:val="00945480"/>
    <w:rsid w:val="00946663"/>
    <w:rsid w:val="00950427"/>
    <w:rsid w:val="009516F1"/>
    <w:rsid w:val="009516FA"/>
    <w:rsid w:val="00952006"/>
    <w:rsid w:val="00954E31"/>
    <w:rsid w:val="009565EF"/>
    <w:rsid w:val="00957497"/>
    <w:rsid w:val="00957A8E"/>
    <w:rsid w:val="00960919"/>
    <w:rsid w:val="00961311"/>
    <w:rsid w:val="00961A68"/>
    <w:rsid w:val="00962437"/>
    <w:rsid w:val="00962CBA"/>
    <w:rsid w:val="009637E5"/>
    <w:rsid w:val="009639F5"/>
    <w:rsid w:val="00964B6C"/>
    <w:rsid w:val="00965166"/>
    <w:rsid w:val="0096533C"/>
    <w:rsid w:val="00966355"/>
    <w:rsid w:val="00966E94"/>
    <w:rsid w:val="00967AEF"/>
    <w:rsid w:val="00967DEF"/>
    <w:rsid w:val="00970F86"/>
    <w:rsid w:val="00971CAC"/>
    <w:rsid w:val="00971ECD"/>
    <w:rsid w:val="00971F1C"/>
    <w:rsid w:val="00973DC5"/>
    <w:rsid w:val="00974149"/>
    <w:rsid w:val="00974A3C"/>
    <w:rsid w:val="00974FCD"/>
    <w:rsid w:val="0097525B"/>
    <w:rsid w:val="00982E5B"/>
    <w:rsid w:val="00983B8C"/>
    <w:rsid w:val="00984ADA"/>
    <w:rsid w:val="009854C3"/>
    <w:rsid w:val="00985F0C"/>
    <w:rsid w:val="0098654A"/>
    <w:rsid w:val="009865DD"/>
    <w:rsid w:val="009867FF"/>
    <w:rsid w:val="00986CD3"/>
    <w:rsid w:val="00986CDD"/>
    <w:rsid w:val="00986E81"/>
    <w:rsid w:val="0098708D"/>
    <w:rsid w:val="00987247"/>
    <w:rsid w:val="00987AB4"/>
    <w:rsid w:val="00990F03"/>
    <w:rsid w:val="0099119D"/>
    <w:rsid w:val="009911D6"/>
    <w:rsid w:val="009939DD"/>
    <w:rsid w:val="0099525E"/>
    <w:rsid w:val="0099588F"/>
    <w:rsid w:val="009A036F"/>
    <w:rsid w:val="009A07EE"/>
    <w:rsid w:val="009A097F"/>
    <w:rsid w:val="009A0990"/>
    <w:rsid w:val="009A127D"/>
    <w:rsid w:val="009A3B8F"/>
    <w:rsid w:val="009A3E06"/>
    <w:rsid w:val="009A3EE3"/>
    <w:rsid w:val="009A51ED"/>
    <w:rsid w:val="009A5408"/>
    <w:rsid w:val="009A5E12"/>
    <w:rsid w:val="009A7205"/>
    <w:rsid w:val="009A7291"/>
    <w:rsid w:val="009A7377"/>
    <w:rsid w:val="009A7734"/>
    <w:rsid w:val="009A7ABD"/>
    <w:rsid w:val="009B1936"/>
    <w:rsid w:val="009B209C"/>
    <w:rsid w:val="009B323C"/>
    <w:rsid w:val="009B32A8"/>
    <w:rsid w:val="009B3B6F"/>
    <w:rsid w:val="009B60A6"/>
    <w:rsid w:val="009B7694"/>
    <w:rsid w:val="009B791B"/>
    <w:rsid w:val="009B7E92"/>
    <w:rsid w:val="009C0B4D"/>
    <w:rsid w:val="009C11E3"/>
    <w:rsid w:val="009C143E"/>
    <w:rsid w:val="009C2AB5"/>
    <w:rsid w:val="009C3378"/>
    <w:rsid w:val="009C3569"/>
    <w:rsid w:val="009C3C8A"/>
    <w:rsid w:val="009C3D8F"/>
    <w:rsid w:val="009C3F62"/>
    <w:rsid w:val="009C5232"/>
    <w:rsid w:val="009C70B3"/>
    <w:rsid w:val="009C767C"/>
    <w:rsid w:val="009D00BF"/>
    <w:rsid w:val="009D0124"/>
    <w:rsid w:val="009D20E3"/>
    <w:rsid w:val="009D32A7"/>
    <w:rsid w:val="009D4082"/>
    <w:rsid w:val="009D6C90"/>
    <w:rsid w:val="009D70C0"/>
    <w:rsid w:val="009D718D"/>
    <w:rsid w:val="009D7C79"/>
    <w:rsid w:val="009E0163"/>
    <w:rsid w:val="009E0941"/>
    <w:rsid w:val="009E1499"/>
    <w:rsid w:val="009E17E0"/>
    <w:rsid w:val="009E1943"/>
    <w:rsid w:val="009E1B5E"/>
    <w:rsid w:val="009E330A"/>
    <w:rsid w:val="009E3C38"/>
    <w:rsid w:val="009E40F9"/>
    <w:rsid w:val="009E4268"/>
    <w:rsid w:val="009E583A"/>
    <w:rsid w:val="009E700B"/>
    <w:rsid w:val="009E7B67"/>
    <w:rsid w:val="009F129B"/>
    <w:rsid w:val="009F21E7"/>
    <w:rsid w:val="009F22CC"/>
    <w:rsid w:val="009F373A"/>
    <w:rsid w:val="009F3C37"/>
    <w:rsid w:val="009F3CFF"/>
    <w:rsid w:val="009F6522"/>
    <w:rsid w:val="009F7969"/>
    <w:rsid w:val="00A02787"/>
    <w:rsid w:val="00A030F2"/>
    <w:rsid w:val="00A032D2"/>
    <w:rsid w:val="00A06A10"/>
    <w:rsid w:val="00A06EAA"/>
    <w:rsid w:val="00A07AD9"/>
    <w:rsid w:val="00A1269A"/>
    <w:rsid w:val="00A12E02"/>
    <w:rsid w:val="00A1382C"/>
    <w:rsid w:val="00A13990"/>
    <w:rsid w:val="00A13A13"/>
    <w:rsid w:val="00A13BF1"/>
    <w:rsid w:val="00A146B4"/>
    <w:rsid w:val="00A1478E"/>
    <w:rsid w:val="00A15CD2"/>
    <w:rsid w:val="00A160DB"/>
    <w:rsid w:val="00A164B2"/>
    <w:rsid w:val="00A17399"/>
    <w:rsid w:val="00A20F23"/>
    <w:rsid w:val="00A22D5B"/>
    <w:rsid w:val="00A237EC"/>
    <w:rsid w:val="00A24AFC"/>
    <w:rsid w:val="00A26080"/>
    <w:rsid w:val="00A265C5"/>
    <w:rsid w:val="00A26875"/>
    <w:rsid w:val="00A2690B"/>
    <w:rsid w:val="00A26B68"/>
    <w:rsid w:val="00A26C40"/>
    <w:rsid w:val="00A276A2"/>
    <w:rsid w:val="00A27C7D"/>
    <w:rsid w:val="00A3002A"/>
    <w:rsid w:val="00A303AF"/>
    <w:rsid w:val="00A304CD"/>
    <w:rsid w:val="00A30AD5"/>
    <w:rsid w:val="00A31409"/>
    <w:rsid w:val="00A336C3"/>
    <w:rsid w:val="00A34024"/>
    <w:rsid w:val="00A346C4"/>
    <w:rsid w:val="00A34C32"/>
    <w:rsid w:val="00A34CC8"/>
    <w:rsid w:val="00A354AF"/>
    <w:rsid w:val="00A3669E"/>
    <w:rsid w:val="00A36E88"/>
    <w:rsid w:val="00A371C3"/>
    <w:rsid w:val="00A378AA"/>
    <w:rsid w:val="00A37981"/>
    <w:rsid w:val="00A40233"/>
    <w:rsid w:val="00A41E80"/>
    <w:rsid w:val="00A4236A"/>
    <w:rsid w:val="00A42EB0"/>
    <w:rsid w:val="00A42F83"/>
    <w:rsid w:val="00A44840"/>
    <w:rsid w:val="00A450E4"/>
    <w:rsid w:val="00A46CE9"/>
    <w:rsid w:val="00A5081D"/>
    <w:rsid w:val="00A50C51"/>
    <w:rsid w:val="00A5128A"/>
    <w:rsid w:val="00A51ECE"/>
    <w:rsid w:val="00A522D3"/>
    <w:rsid w:val="00A526B6"/>
    <w:rsid w:val="00A52EB0"/>
    <w:rsid w:val="00A53EF2"/>
    <w:rsid w:val="00A54A3B"/>
    <w:rsid w:val="00A5581B"/>
    <w:rsid w:val="00A55AAD"/>
    <w:rsid w:val="00A56663"/>
    <w:rsid w:val="00A57419"/>
    <w:rsid w:val="00A605FC"/>
    <w:rsid w:val="00A6153D"/>
    <w:rsid w:val="00A61FD5"/>
    <w:rsid w:val="00A63509"/>
    <w:rsid w:val="00A64536"/>
    <w:rsid w:val="00A645B4"/>
    <w:rsid w:val="00A646FF"/>
    <w:rsid w:val="00A64D26"/>
    <w:rsid w:val="00A65F0F"/>
    <w:rsid w:val="00A67189"/>
    <w:rsid w:val="00A67744"/>
    <w:rsid w:val="00A67F43"/>
    <w:rsid w:val="00A7124C"/>
    <w:rsid w:val="00A71ADF"/>
    <w:rsid w:val="00A71C6C"/>
    <w:rsid w:val="00A71C92"/>
    <w:rsid w:val="00A73049"/>
    <w:rsid w:val="00A7378B"/>
    <w:rsid w:val="00A73EC7"/>
    <w:rsid w:val="00A741D3"/>
    <w:rsid w:val="00A745AF"/>
    <w:rsid w:val="00A75076"/>
    <w:rsid w:val="00A75C67"/>
    <w:rsid w:val="00A75E4D"/>
    <w:rsid w:val="00A76ECB"/>
    <w:rsid w:val="00A80747"/>
    <w:rsid w:val="00A80DBB"/>
    <w:rsid w:val="00A813F3"/>
    <w:rsid w:val="00A816A3"/>
    <w:rsid w:val="00A826D2"/>
    <w:rsid w:val="00A82754"/>
    <w:rsid w:val="00A834A7"/>
    <w:rsid w:val="00A84653"/>
    <w:rsid w:val="00A84863"/>
    <w:rsid w:val="00A84930"/>
    <w:rsid w:val="00A84A15"/>
    <w:rsid w:val="00A84EC6"/>
    <w:rsid w:val="00A86231"/>
    <w:rsid w:val="00A863E6"/>
    <w:rsid w:val="00A86728"/>
    <w:rsid w:val="00A86832"/>
    <w:rsid w:val="00A86DCB"/>
    <w:rsid w:val="00A870F6"/>
    <w:rsid w:val="00A871E2"/>
    <w:rsid w:val="00A8738A"/>
    <w:rsid w:val="00A87503"/>
    <w:rsid w:val="00A91374"/>
    <w:rsid w:val="00A91E70"/>
    <w:rsid w:val="00A91F15"/>
    <w:rsid w:val="00A92D75"/>
    <w:rsid w:val="00A931BE"/>
    <w:rsid w:val="00A933E5"/>
    <w:rsid w:val="00A93C63"/>
    <w:rsid w:val="00A94AFE"/>
    <w:rsid w:val="00A94EDC"/>
    <w:rsid w:val="00A94FAE"/>
    <w:rsid w:val="00A9593E"/>
    <w:rsid w:val="00A95B3E"/>
    <w:rsid w:val="00A95EB9"/>
    <w:rsid w:val="00A97265"/>
    <w:rsid w:val="00A97274"/>
    <w:rsid w:val="00A975F6"/>
    <w:rsid w:val="00A979B2"/>
    <w:rsid w:val="00AA2AC6"/>
    <w:rsid w:val="00AA328D"/>
    <w:rsid w:val="00AA5784"/>
    <w:rsid w:val="00AA5D05"/>
    <w:rsid w:val="00AA630F"/>
    <w:rsid w:val="00AA63AB"/>
    <w:rsid w:val="00AA6497"/>
    <w:rsid w:val="00AA6FB6"/>
    <w:rsid w:val="00AA7A42"/>
    <w:rsid w:val="00AB0588"/>
    <w:rsid w:val="00AB0F26"/>
    <w:rsid w:val="00AB1574"/>
    <w:rsid w:val="00AB2D23"/>
    <w:rsid w:val="00AB338B"/>
    <w:rsid w:val="00AB4CEF"/>
    <w:rsid w:val="00AB4E53"/>
    <w:rsid w:val="00AB6C12"/>
    <w:rsid w:val="00AB6CE8"/>
    <w:rsid w:val="00AB6F59"/>
    <w:rsid w:val="00AB6FA3"/>
    <w:rsid w:val="00AB7C2A"/>
    <w:rsid w:val="00AC01E5"/>
    <w:rsid w:val="00AC0805"/>
    <w:rsid w:val="00AC0D10"/>
    <w:rsid w:val="00AC19CF"/>
    <w:rsid w:val="00AC1C2E"/>
    <w:rsid w:val="00AC4931"/>
    <w:rsid w:val="00AC5102"/>
    <w:rsid w:val="00AC51F0"/>
    <w:rsid w:val="00AC5213"/>
    <w:rsid w:val="00AC56BF"/>
    <w:rsid w:val="00AC5D9E"/>
    <w:rsid w:val="00AD1C26"/>
    <w:rsid w:val="00AD2146"/>
    <w:rsid w:val="00AD2C13"/>
    <w:rsid w:val="00AD3CF9"/>
    <w:rsid w:val="00AD4362"/>
    <w:rsid w:val="00AD4FB3"/>
    <w:rsid w:val="00AD51F1"/>
    <w:rsid w:val="00AD5DFA"/>
    <w:rsid w:val="00AD71A2"/>
    <w:rsid w:val="00AD7241"/>
    <w:rsid w:val="00AD79EF"/>
    <w:rsid w:val="00AE0578"/>
    <w:rsid w:val="00AE2209"/>
    <w:rsid w:val="00AE2F7E"/>
    <w:rsid w:val="00AE51F2"/>
    <w:rsid w:val="00AE784F"/>
    <w:rsid w:val="00AE7899"/>
    <w:rsid w:val="00AF0428"/>
    <w:rsid w:val="00AF0702"/>
    <w:rsid w:val="00AF0A86"/>
    <w:rsid w:val="00AF16B6"/>
    <w:rsid w:val="00AF3634"/>
    <w:rsid w:val="00AF3970"/>
    <w:rsid w:val="00AF552A"/>
    <w:rsid w:val="00AF5855"/>
    <w:rsid w:val="00AF5BCE"/>
    <w:rsid w:val="00AF5E42"/>
    <w:rsid w:val="00AF6086"/>
    <w:rsid w:val="00AF7B0C"/>
    <w:rsid w:val="00AF7CF9"/>
    <w:rsid w:val="00B00865"/>
    <w:rsid w:val="00B01188"/>
    <w:rsid w:val="00B03308"/>
    <w:rsid w:val="00B04519"/>
    <w:rsid w:val="00B04552"/>
    <w:rsid w:val="00B04CE5"/>
    <w:rsid w:val="00B0578F"/>
    <w:rsid w:val="00B05AE4"/>
    <w:rsid w:val="00B066C9"/>
    <w:rsid w:val="00B0703F"/>
    <w:rsid w:val="00B10EAC"/>
    <w:rsid w:val="00B1119B"/>
    <w:rsid w:val="00B1258C"/>
    <w:rsid w:val="00B126EF"/>
    <w:rsid w:val="00B13BFB"/>
    <w:rsid w:val="00B13DD6"/>
    <w:rsid w:val="00B14905"/>
    <w:rsid w:val="00B16474"/>
    <w:rsid w:val="00B177CF"/>
    <w:rsid w:val="00B17FF5"/>
    <w:rsid w:val="00B20144"/>
    <w:rsid w:val="00B2095B"/>
    <w:rsid w:val="00B2101D"/>
    <w:rsid w:val="00B21573"/>
    <w:rsid w:val="00B219CB"/>
    <w:rsid w:val="00B21EBD"/>
    <w:rsid w:val="00B223BC"/>
    <w:rsid w:val="00B22D10"/>
    <w:rsid w:val="00B231E6"/>
    <w:rsid w:val="00B25AA4"/>
    <w:rsid w:val="00B2603F"/>
    <w:rsid w:val="00B275F7"/>
    <w:rsid w:val="00B306FE"/>
    <w:rsid w:val="00B30997"/>
    <w:rsid w:val="00B3136A"/>
    <w:rsid w:val="00B31A26"/>
    <w:rsid w:val="00B32E69"/>
    <w:rsid w:val="00B32FF4"/>
    <w:rsid w:val="00B34CC4"/>
    <w:rsid w:val="00B34D0A"/>
    <w:rsid w:val="00B35DD9"/>
    <w:rsid w:val="00B364ED"/>
    <w:rsid w:val="00B3664D"/>
    <w:rsid w:val="00B375AC"/>
    <w:rsid w:val="00B417D3"/>
    <w:rsid w:val="00B41BB9"/>
    <w:rsid w:val="00B42921"/>
    <w:rsid w:val="00B44044"/>
    <w:rsid w:val="00B45095"/>
    <w:rsid w:val="00B453A2"/>
    <w:rsid w:val="00B468F2"/>
    <w:rsid w:val="00B47245"/>
    <w:rsid w:val="00B478D8"/>
    <w:rsid w:val="00B478DD"/>
    <w:rsid w:val="00B50E0A"/>
    <w:rsid w:val="00B51848"/>
    <w:rsid w:val="00B537DC"/>
    <w:rsid w:val="00B54BA9"/>
    <w:rsid w:val="00B54EC4"/>
    <w:rsid w:val="00B55B6C"/>
    <w:rsid w:val="00B56132"/>
    <w:rsid w:val="00B5686A"/>
    <w:rsid w:val="00B57DED"/>
    <w:rsid w:val="00B615E4"/>
    <w:rsid w:val="00B629BE"/>
    <w:rsid w:val="00B64421"/>
    <w:rsid w:val="00B657D2"/>
    <w:rsid w:val="00B65990"/>
    <w:rsid w:val="00B6655F"/>
    <w:rsid w:val="00B666DA"/>
    <w:rsid w:val="00B66937"/>
    <w:rsid w:val="00B67626"/>
    <w:rsid w:val="00B7346A"/>
    <w:rsid w:val="00B748C8"/>
    <w:rsid w:val="00B74E4A"/>
    <w:rsid w:val="00B754D8"/>
    <w:rsid w:val="00B7586A"/>
    <w:rsid w:val="00B76951"/>
    <w:rsid w:val="00B7734B"/>
    <w:rsid w:val="00B80571"/>
    <w:rsid w:val="00B80575"/>
    <w:rsid w:val="00B820BC"/>
    <w:rsid w:val="00B82891"/>
    <w:rsid w:val="00B829EE"/>
    <w:rsid w:val="00B82A68"/>
    <w:rsid w:val="00B85948"/>
    <w:rsid w:val="00B85C78"/>
    <w:rsid w:val="00B87743"/>
    <w:rsid w:val="00B879DA"/>
    <w:rsid w:val="00B87C7D"/>
    <w:rsid w:val="00B914DA"/>
    <w:rsid w:val="00B9165C"/>
    <w:rsid w:val="00B91BE4"/>
    <w:rsid w:val="00B921EE"/>
    <w:rsid w:val="00B92D96"/>
    <w:rsid w:val="00B93B6B"/>
    <w:rsid w:val="00B93C59"/>
    <w:rsid w:val="00B946F3"/>
    <w:rsid w:val="00B950B9"/>
    <w:rsid w:val="00B956E8"/>
    <w:rsid w:val="00B97C21"/>
    <w:rsid w:val="00BA097F"/>
    <w:rsid w:val="00BA1970"/>
    <w:rsid w:val="00BA1FA4"/>
    <w:rsid w:val="00BA36ED"/>
    <w:rsid w:val="00BA3815"/>
    <w:rsid w:val="00BA4455"/>
    <w:rsid w:val="00BA4884"/>
    <w:rsid w:val="00BA4B00"/>
    <w:rsid w:val="00BA4C73"/>
    <w:rsid w:val="00BA5B95"/>
    <w:rsid w:val="00BA674E"/>
    <w:rsid w:val="00BA7834"/>
    <w:rsid w:val="00BB05DC"/>
    <w:rsid w:val="00BB143B"/>
    <w:rsid w:val="00BB17C9"/>
    <w:rsid w:val="00BB1BE1"/>
    <w:rsid w:val="00BB257B"/>
    <w:rsid w:val="00BB4B93"/>
    <w:rsid w:val="00BB55DE"/>
    <w:rsid w:val="00BB563D"/>
    <w:rsid w:val="00BB64CC"/>
    <w:rsid w:val="00BB69E1"/>
    <w:rsid w:val="00BC0615"/>
    <w:rsid w:val="00BC062C"/>
    <w:rsid w:val="00BC12DC"/>
    <w:rsid w:val="00BC1D47"/>
    <w:rsid w:val="00BC49BF"/>
    <w:rsid w:val="00BC548D"/>
    <w:rsid w:val="00BC5CC1"/>
    <w:rsid w:val="00BC6A83"/>
    <w:rsid w:val="00BC6CEC"/>
    <w:rsid w:val="00BC6FF1"/>
    <w:rsid w:val="00BC7806"/>
    <w:rsid w:val="00BC7DD4"/>
    <w:rsid w:val="00BD0331"/>
    <w:rsid w:val="00BD311C"/>
    <w:rsid w:val="00BD33BD"/>
    <w:rsid w:val="00BD4253"/>
    <w:rsid w:val="00BD4D42"/>
    <w:rsid w:val="00BD5A45"/>
    <w:rsid w:val="00BD6B80"/>
    <w:rsid w:val="00BD72CA"/>
    <w:rsid w:val="00BD7956"/>
    <w:rsid w:val="00BE070B"/>
    <w:rsid w:val="00BE1971"/>
    <w:rsid w:val="00BE2163"/>
    <w:rsid w:val="00BE23AB"/>
    <w:rsid w:val="00BE25BC"/>
    <w:rsid w:val="00BE2868"/>
    <w:rsid w:val="00BE2C58"/>
    <w:rsid w:val="00BE3500"/>
    <w:rsid w:val="00BE36B3"/>
    <w:rsid w:val="00BE36CE"/>
    <w:rsid w:val="00BE57E8"/>
    <w:rsid w:val="00BE5A3F"/>
    <w:rsid w:val="00BE5BD8"/>
    <w:rsid w:val="00BE5C53"/>
    <w:rsid w:val="00BE73DD"/>
    <w:rsid w:val="00BE7644"/>
    <w:rsid w:val="00BF04EB"/>
    <w:rsid w:val="00BF0636"/>
    <w:rsid w:val="00BF12F4"/>
    <w:rsid w:val="00BF1BCC"/>
    <w:rsid w:val="00BF23EC"/>
    <w:rsid w:val="00BF2FF5"/>
    <w:rsid w:val="00BF3697"/>
    <w:rsid w:val="00BF3893"/>
    <w:rsid w:val="00BF3DFD"/>
    <w:rsid w:val="00BF4DB8"/>
    <w:rsid w:val="00BF5018"/>
    <w:rsid w:val="00BF50B3"/>
    <w:rsid w:val="00BF59FB"/>
    <w:rsid w:val="00BF63CC"/>
    <w:rsid w:val="00BF6C09"/>
    <w:rsid w:val="00C01421"/>
    <w:rsid w:val="00C028A4"/>
    <w:rsid w:val="00C034A4"/>
    <w:rsid w:val="00C03C8A"/>
    <w:rsid w:val="00C03C8F"/>
    <w:rsid w:val="00C03E29"/>
    <w:rsid w:val="00C046C4"/>
    <w:rsid w:val="00C0636B"/>
    <w:rsid w:val="00C06825"/>
    <w:rsid w:val="00C06E1F"/>
    <w:rsid w:val="00C074C2"/>
    <w:rsid w:val="00C07C4B"/>
    <w:rsid w:val="00C148C0"/>
    <w:rsid w:val="00C14B85"/>
    <w:rsid w:val="00C14E03"/>
    <w:rsid w:val="00C14ED1"/>
    <w:rsid w:val="00C153CA"/>
    <w:rsid w:val="00C165EA"/>
    <w:rsid w:val="00C172E0"/>
    <w:rsid w:val="00C17E7D"/>
    <w:rsid w:val="00C202B4"/>
    <w:rsid w:val="00C202DF"/>
    <w:rsid w:val="00C20865"/>
    <w:rsid w:val="00C2135F"/>
    <w:rsid w:val="00C21A89"/>
    <w:rsid w:val="00C23420"/>
    <w:rsid w:val="00C2455F"/>
    <w:rsid w:val="00C24932"/>
    <w:rsid w:val="00C25A78"/>
    <w:rsid w:val="00C263BD"/>
    <w:rsid w:val="00C2660D"/>
    <w:rsid w:val="00C2680B"/>
    <w:rsid w:val="00C2740E"/>
    <w:rsid w:val="00C27A43"/>
    <w:rsid w:val="00C30DEA"/>
    <w:rsid w:val="00C321F6"/>
    <w:rsid w:val="00C3235F"/>
    <w:rsid w:val="00C326A4"/>
    <w:rsid w:val="00C35AB1"/>
    <w:rsid w:val="00C364A4"/>
    <w:rsid w:val="00C366CA"/>
    <w:rsid w:val="00C36AB9"/>
    <w:rsid w:val="00C370F7"/>
    <w:rsid w:val="00C41513"/>
    <w:rsid w:val="00C418B6"/>
    <w:rsid w:val="00C42169"/>
    <w:rsid w:val="00C43481"/>
    <w:rsid w:val="00C43647"/>
    <w:rsid w:val="00C43E83"/>
    <w:rsid w:val="00C44566"/>
    <w:rsid w:val="00C448B2"/>
    <w:rsid w:val="00C44EC7"/>
    <w:rsid w:val="00C44FE8"/>
    <w:rsid w:val="00C4533A"/>
    <w:rsid w:val="00C4579A"/>
    <w:rsid w:val="00C45AEB"/>
    <w:rsid w:val="00C46FD4"/>
    <w:rsid w:val="00C47BB1"/>
    <w:rsid w:val="00C47D69"/>
    <w:rsid w:val="00C47F9B"/>
    <w:rsid w:val="00C503D9"/>
    <w:rsid w:val="00C506A2"/>
    <w:rsid w:val="00C51999"/>
    <w:rsid w:val="00C51F3E"/>
    <w:rsid w:val="00C53999"/>
    <w:rsid w:val="00C559B2"/>
    <w:rsid w:val="00C56952"/>
    <w:rsid w:val="00C56A2F"/>
    <w:rsid w:val="00C5703D"/>
    <w:rsid w:val="00C61154"/>
    <w:rsid w:val="00C6115F"/>
    <w:rsid w:val="00C61ACD"/>
    <w:rsid w:val="00C62047"/>
    <w:rsid w:val="00C62611"/>
    <w:rsid w:val="00C63389"/>
    <w:rsid w:val="00C63EA2"/>
    <w:rsid w:val="00C643F9"/>
    <w:rsid w:val="00C65777"/>
    <w:rsid w:val="00C66179"/>
    <w:rsid w:val="00C67622"/>
    <w:rsid w:val="00C706BD"/>
    <w:rsid w:val="00C711AD"/>
    <w:rsid w:val="00C71661"/>
    <w:rsid w:val="00C72507"/>
    <w:rsid w:val="00C72578"/>
    <w:rsid w:val="00C72F38"/>
    <w:rsid w:val="00C731FA"/>
    <w:rsid w:val="00C73268"/>
    <w:rsid w:val="00C73610"/>
    <w:rsid w:val="00C75860"/>
    <w:rsid w:val="00C7659C"/>
    <w:rsid w:val="00C76F59"/>
    <w:rsid w:val="00C80084"/>
    <w:rsid w:val="00C805F7"/>
    <w:rsid w:val="00C806F7"/>
    <w:rsid w:val="00C81597"/>
    <w:rsid w:val="00C815E2"/>
    <w:rsid w:val="00C82B60"/>
    <w:rsid w:val="00C839F3"/>
    <w:rsid w:val="00C840BB"/>
    <w:rsid w:val="00C84FAF"/>
    <w:rsid w:val="00C854DA"/>
    <w:rsid w:val="00C859BD"/>
    <w:rsid w:val="00C85EB2"/>
    <w:rsid w:val="00C86BC6"/>
    <w:rsid w:val="00C90CF9"/>
    <w:rsid w:val="00C917FB"/>
    <w:rsid w:val="00C921A7"/>
    <w:rsid w:val="00C92D66"/>
    <w:rsid w:val="00C9334F"/>
    <w:rsid w:val="00C9369B"/>
    <w:rsid w:val="00C94D4C"/>
    <w:rsid w:val="00C9515B"/>
    <w:rsid w:val="00C97AA5"/>
    <w:rsid w:val="00CA1009"/>
    <w:rsid w:val="00CA39E1"/>
    <w:rsid w:val="00CA3D97"/>
    <w:rsid w:val="00CA405D"/>
    <w:rsid w:val="00CA420E"/>
    <w:rsid w:val="00CA487E"/>
    <w:rsid w:val="00CA4C75"/>
    <w:rsid w:val="00CA5AF4"/>
    <w:rsid w:val="00CA5B9B"/>
    <w:rsid w:val="00CA5FC6"/>
    <w:rsid w:val="00CA6D2C"/>
    <w:rsid w:val="00CA7155"/>
    <w:rsid w:val="00CA74C8"/>
    <w:rsid w:val="00CB126C"/>
    <w:rsid w:val="00CB1333"/>
    <w:rsid w:val="00CB1D6D"/>
    <w:rsid w:val="00CB34D4"/>
    <w:rsid w:val="00CB376A"/>
    <w:rsid w:val="00CB386B"/>
    <w:rsid w:val="00CB4035"/>
    <w:rsid w:val="00CB464E"/>
    <w:rsid w:val="00CB4A2D"/>
    <w:rsid w:val="00CB4B89"/>
    <w:rsid w:val="00CB5C2E"/>
    <w:rsid w:val="00CB73B2"/>
    <w:rsid w:val="00CB7CF3"/>
    <w:rsid w:val="00CC0F3A"/>
    <w:rsid w:val="00CC1BE1"/>
    <w:rsid w:val="00CC2667"/>
    <w:rsid w:val="00CC291E"/>
    <w:rsid w:val="00CC2D83"/>
    <w:rsid w:val="00CC3680"/>
    <w:rsid w:val="00CC3E34"/>
    <w:rsid w:val="00CC433C"/>
    <w:rsid w:val="00CC4DC9"/>
    <w:rsid w:val="00CC5CF1"/>
    <w:rsid w:val="00CC6345"/>
    <w:rsid w:val="00CC6C50"/>
    <w:rsid w:val="00CC7029"/>
    <w:rsid w:val="00CC70C3"/>
    <w:rsid w:val="00CC72A0"/>
    <w:rsid w:val="00CC74D2"/>
    <w:rsid w:val="00CC7D5D"/>
    <w:rsid w:val="00CD05F2"/>
    <w:rsid w:val="00CD33DE"/>
    <w:rsid w:val="00CD52A1"/>
    <w:rsid w:val="00CD5722"/>
    <w:rsid w:val="00CD5F59"/>
    <w:rsid w:val="00CD7858"/>
    <w:rsid w:val="00CE11A5"/>
    <w:rsid w:val="00CE1265"/>
    <w:rsid w:val="00CE1325"/>
    <w:rsid w:val="00CE1AFC"/>
    <w:rsid w:val="00CE2825"/>
    <w:rsid w:val="00CE2E2E"/>
    <w:rsid w:val="00CE2F6C"/>
    <w:rsid w:val="00CE3613"/>
    <w:rsid w:val="00CE46C6"/>
    <w:rsid w:val="00CE5B1D"/>
    <w:rsid w:val="00CE66D9"/>
    <w:rsid w:val="00CE6AEF"/>
    <w:rsid w:val="00CE75F7"/>
    <w:rsid w:val="00CE7A73"/>
    <w:rsid w:val="00CF0299"/>
    <w:rsid w:val="00CF0951"/>
    <w:rsid w:val="00CF0972"/>
    <w:rsid w:val="00CF1B4C"/>
    <w:rsid w:val="00CF2C10"/>
    <w:rsid w:val="00CF2FD0"/>
    <w:rsid w:val="00CF3905"/>
    <w:rsid w:val="00CF47A0"/>
    <w:rsid w:val="00CF6C95"/>
    <w:rsid w:val="00CF73E3"/>
    <w:rsid w:val="00CF77D9"/>
    <w:rsid w:val="00D00085"/>
    <w:rsid w:val="00D0045C"/>
    <w:rsid w:val="00D009F6"/>
    <w:rsid w:val="00D017B6"/>
    <w:rsid w:val="00D021DA"/>
    <w:rsid w:val="00D02B27"/>
    <w:rsid w:val="00D0349D"/>
    <w:rsid w:val="00D03605"/>
    <w:rsid w:val="00D04881"/>
    <w:rsid w:val="00D04CE7"/>
    <w:rsid w:val="00D05A68"/>
    <w:rsid w:val="00D05CF8"/>
    <w:rsid w:val="00D061F2"/>
    <w:rsid w:val="00D07ADA"/>
    <w:rsid w:val="00D07C18"/>
    <w:rsid w:val="00D07E7D"/>
    <w:rsid w:val="00D10155"/>
    <w:rsid w:val="00D10880"/>
    <w:rsid w:val="00D115CF"/>
    <w:rsid w:val="00D119A2"/>
    <w:rsid w:val="00D12389"/>
    <w:rsid w:val="00D12571"/>
    <w:rsid w:val="00D13B7F"/>
    <w:rsid w:val="00D13D7A"/>
    <w:rsid w:val="00D14786"/>
    <w:rsid w:val="00D14A08"/>
    <w:rsid w:val="00D15362"/>
    <w:rsid w:val="00D15B77"/>
    <w:rsid w:val="00D167CB"/>
    <w:rsid w:val="00D1716D"/>
    <w:rsid w:val="00D17EF0"/>
    <w:rsid w:val="00D218B8"/>
    <w:rsid w:val="00D21CA3"/>
    <w:rsid w:val="00D227AF"/>
    <w:rsid w:val="00D231C6"/>
    <w:rsid w:val="00D2349C"/>
    <w:rsid w:val="00D250E1"/>
    <w:rsid w:val="00D25372"/>
    <w:rsid w:val="00D2563A"/>
    <w:rsid w:val="00D27009"/>
    <w:rsid w:val="00D27795"/>
    <w:rsid w:val="00D27BAA"/>
    <w:rsid w:val="00D30947"/>
    <w:rsid w:val="00D30FD8"/>
    <w:rsid w:val="00D31CD3"/>
    <w:rsid w:val="00D32D70"/>
    <w:rsid w:val="00D32FA6"/>
    <w:rsid w:val="00D33428"/>
    <w:rsid w:val="00D33503"/>
    <w:rsid w:val="00D3426B"/>
    <w:rsid w:val="00D342CE"/>
    <w:rsid w:val="00D35107"/>
    <w:rsid w:val="00D35E8C"/>
    <w:rsid w:val="00D36BD7"/>
    <w:rsid w:val="00D37687"/>
    <w:rsid w:val="00D3798A"/>
    <w:rsid w:val="00D37C79"/>
    <w:rsid w:val="00D40997"/>
    <w:rsid w:val="00D40F09"/>
    <w:rsid w:val="00D42325"/>
    <w:rsid w:val="00D433D7"/>
    <w:rsid w:val="00D437FE"/>
    <w:rsid w:val="00D438A1"/>
    <w:rsid w:val="00D445B9"/>
    <w:rsid w:val="00D463C0"/>
    <w:rsid w:val="00D46BE0"/>
    <w:rsid w:val="00D46C56"/>
    <w:rsid w:val="00D47454"/>
    <w:rsid w:val="00D508B3"/>
    <w:rsid w:val="00D5155A"/>
    <w:rsid w:val="00D518A9"/>
    <w:rsid w:val="00D53BF5"/>
    <w:rsid w:val="00D540AD"/>
    <w:rsid w:val="00D54A8F"/>
    <w:rsid w:val="00D54BD8"/>
    <w:rsid w:val="00D56D78"/>
    <w:rsid w:val="00D57358"/>
    <w:rsid w:val="00D60597"/>
    <w:rsid w:val="00D61707"/>
    <w:rsid w:val="00D622FC"/>
    <w:rsid w:val="00D6278D"/>
    <w:rsid w:val="00D629AC"/>
    <w:rsid w:val="00D62B68"/>
    <w:rsid w:val="00D62DCD"/>
    <w:rsid w:val="00D635C6"/>
    <w:rsid w:val="00D63E8B"/>
    <w:rsid w:val="00D6422F"/>
    <w:rsid w:val="00D64366"/>
    <w:rsid w:val="00D64DCD"/>
    <w:rsid w:val="00D654CE"/>
    <w:rsid w:val="00D666E4"/>
    <w:rsid w:val="00D66802"/>
    <w:rsid w:val="00D7059E"/>
    <w:rsid w:val="00D7080B"/>
    <w:rsid w:val="00D70CA5"/>
    <w:rsid w:val="00D70FA1"/>
    <w:rsid w:val="00D71DBD"/>
    <w:rsid w:val="00D71F1B"/>
    <w:rsid w:val="00D73C26"/>
    <w:rsid w:val="00D74F29"/>
    <w:rsid w:val="00D75366"/>
    <w:rsid w:val="00D76401"/>
    <w:rsid w:val="00D76B3D"/>
    <w:rsid w:val="00D76D50"/>
    <w:rsid w:val="00D771DC"/>
    <w:rsid w:val="00D77407"/>
    <w:rsid w:val="00D80692"/>
    <w:rsid w:val="00D80FE8"/>
    <w:rsid w:val="00D818F2"/>
    <w:rsid w:val="00D831B1"/>
    <w:rsid w:val="00D843FF"/>
    <w:rsid w:val="00D84F5A"/>
    <w:rsid w:val="00D864F9"/>
    <w:rsid w:val="00D867C2"/>
    <w:rsid w:val="00D8743C"/>
    <w:rsid w:val="00D876F3"/>
    <w:rsid w:val="00D904C8"/>
    <w:rsid w:val="00D91B24"/>
    <w:rsid w:val="00D92070"/>
    <w:rsid w:val="00D922C5"/>
    <w:rsid w:val="00D92574"/>
    <w:rsid w:val="00D938F8"/>
    <w:rsid w:val="00D9422F"/>
    <w:rsid w:val="00D949B5"/>
    <w:rsid w:val="00D94B87"/>
    <w:rsid w:val="00D954E6"/>
    <w:rsid w:val="00D95C6F"/>
    <w:rsid w:val="00D962BF"/>
    <w:rsid w:val="00D964C5"/>
    <w:rsid w:val="00D969E9"/>
    <w:rsid w:val="00D96D76"/>
    <w:rsid w:val="00D97F9C"/>
    <w:rsid w:val="00DA2424"/>
    <w:rsid w:val="00DA3F19"/>
    <w:rsid w:val="00DA4283"/>
    <w:rsid w:val="00DA4E0A"/>
    <w:rsid w:val="00DA5B39"/>
    <w:rsid w:val="00DA60BB"/>
    <w:rsid w:val="00DA60CE"/>
    <w:rsid w:val="00DA626F"/>
    <w:rsid w:val="00DA6D4E"/>
    <w:rsid w:val="00DB094A"/>
    <w:rsid w:val="00DB1014"/>
    <w:rsid w:val="00DB140A"/>
    <w:rsid w:val="00DB2052"/>
    <w:rsid w:val="00DB3648"/>
    <w:rsid w:val="00DB36D9"/>
    <w:rsid w:val="00DB433B"/>
    <w:rsid w:val="00DB5735"/>
    <w:rsid w:val="00DB59A5"/>
    <w:rsid w:val="00DB71CD"/>
    <w:rsid w:val="00DB7F5F"/>
    <w:rsid w:val="00DC0017"/>
    <w:rsid w:val="00DC006B"/>
    <w:rsid w:val="00DC0243"/>
    <w:rsid w:val="00DC08EE"/>
    <w:rsid w:val="00DC1773"/>
    <w:rsid w:val="00DC18CB"/>
    <w:rsid w:val="00DC19AB"/>
    <w:rsid w:val="00DC2662"/>
    <w:rsid w:val="00DC2F6F"/>
    <w:rsid w:val="00DC3223"/>
    <w:rsid w:val="00DC332B"/>
    <w:rsid w:val="00DC34FE"/>
    <w:rsid w:val="00DC4321"/>
    <w:rsid w:val="00DC450A"/>
    <w:rsid w:val="00DC7B58"/>
    <w:rsid w:val="00DD00C6"/>
    <w:rsid w:val="00DD01F1"/>
    <w:rsid w:val="00DD05C7"/>
    <w:rsid w:val="00DD0B42"/>
    <w:rsid w:val="00DD11C9"/>
    <w:rsid w:val="00DD1A96"/>
    <w:rsid w:val="00DD20D0"/>
    <w:rsid w:val="00DD2740"/>
    <w:rsid w:val="00DD27EB"/>
    <w:rsid w:val="00DD28F5"/>
    <w:rsid w:val="00DD3E5F"/>
    <w:rsid w:val="00DD51BA"/>
    <w:rsid w:val="00DD6880"/>
    <w:rsid w:val="00DD7520"/>
    <w:rsid w:val="00DE029A"/>
    <w:rsid w:val="00DE11C7"/>
    <w:rsid w:val="00DE19A5"/>
    <w:rsid w:val="00DE2194"/>
    <w:rsid w:val="00DE242B"/>
    <w:rsid w:val="00DE24EC"/>
    <w:rsid w:val="00DE3A96"/>
    <w:rsid w:val="00DE3D79"/>
    <w:rsid w:val="00DE3E24"/>
    <w:rsid w:val="00DE4ACA"/>
    <w:rsid w:val="00DE4F8E"/>
    <w:rsid w:val="00DE54F9"/>
    <w:rsid w:val="00DE6BFC"/>
    <w:rsid w:val="00DE78B1"/>
    <w:rsid w:val="00DF1670"/>
    <w:rsid w:val="00DF19C0"/>
    <w:rsid w:val="00DF1C46"/>
    <w:rsid w:val="00DF2906"/>
    <w:rsid w:val="00DF4FA4"/>
    <w:rsid w:val="00DF5E43"/>
    <w:rsid w:val="00DF5EB8"/>
    <w:rsid w:val="00DF5F05"/>
    <w:rsid w:val="00DF60DA"/>
    <w:rsid w:val="00DF77B4"/>
    <w:rsid w:val="00E002ED"/>
    <w:rsid w:val="00E004E7"/>
    <w:rsid w:val="00E0109D"/>
    <w:rsid w:val="00E0166F"/>
    <w:rsid w:val="00E019A9"/>
    <w:rsid w:val="00E039AD"/>
    <w:rsid w:val="00E03DC3"/>
    <w:rsid w:val="00E046B3"/>
    <w:rsid w:val="00E04F5B"/>
    <w:rsid w:val="00E051A0"/>
    <w:rsid w:val="00E05946"/>
    <w:rsid w:val="00E05BB2"/>
    <w:rsid w:val="00E073FA"/>
    <w:rsid w:val="00E07F26"/>
    <w:rsid w:val="00E10BFC"/>
    <w:rsid w:val="00E11382"/>
    <w:rsid w:val="00E147FC"/>
    <w:rsid w:val="00E1509B"/>
    <w:rsid w:val="00E15504"/>
    <w:rsid w:val="00E159D7"/>
    <w:rsid w:val="00E163FC"/>
    <w:rsid w:val="00E173DE"/>
    <w:rsid w:val="00E17AAE"/>
    <w:rsid w:val="00E17E8A"/>
    <w:rsid w:val="00E20815"/>
    <w:rsid w:val="00E20FB4"/>
    <w:rsid w:val="00E21833"/>
    <w:rsid w:val="00E22302"/>
    <w:rsid w:val="00E22853"/>
    <w:rsid w:val="00E22A30"/>
    <w:rsid w:val="00E2412B"/>
    <w:rsid w:val="00E2459B"/>
    <w:rsid w:val="00E24ABD"/>
    <w:rsid w:val="00E24C4A"/>
    <w:rsid w:val="00E24CF8"/>
    <w:rsid w:val="00E252F7"/>
    <w:rsid w:val="00E2542D"/>
    <w:rsid w:val="00E25B11"/>
    <w:rsid w:val="00E26645"/>
    <w:rsid w:val="00E269A9"/>
    <w:rsid w:val="00E27480"/>
    <w:rsid w:val="00E303CE"/>
    <w:rsid w:val="00E30600"/>
    <w:rsid w:val="00E31214"/>
    <w:rsid w:val="00E31E5F"/>
    <w:rsid w:val="00E3204F"/>
    <w:rsid w:val="00E323D4"/>
    <w:rsid w:val="00E32AA1"/>
    <w:rsid w:val="00E33153"/>
    <w:rsid w:val="00E3556A"/>
    <w:rsid w:val="00E3577E"/>
    <w:rsid w:val="00E35A40"/>
    <w:rsid w:val="00E3651D"/>
    <w:rsid w:val="00E369A6"/>
    <w:rsid w:val="00E4051D"/>
    <w:rsid w:val="00E412C7"/>
    <w:rsid w:val="00E417B7"/>
    <w:rsid w:val="00E41CDF"/>
    <w:rsid w:val="00E42394"/>
    <w:rsid w:val="00E42481"/>
    <w:rsid w:val="00E43232"/>
    <w:rsid w:val="00E4329E"/>
    <w:rsid w:val="00E43376"/>
    <w:rsid w:val="00E43579"/>
    <w:rsid w:val="00E45DE9"/>
    <w:rsid w:val="00E47034"/>
    <w:rsid w:val="00E47236"/>
    <w:rsid w:val="00E477CB"/>
    <w:rsid w:val="00E50286"/>
    <w:rsid w:val="00E51F16"/>
    <w:rsid w:val="00E522D6"/>
    <w:rsid w:val="00E53E92"/>
    <w:rsid w:val="00E54BAF"/>
    <w:rsid w:val="00E550B9"/>
    <w:rsid w:val="00E562E7"/>
    <w:rsid w:val="00E5751D"/>
    <w:rsid w:val="00E5791C"/>
    <w:rsid w:val="00E62196"/>
    <w:rsid w:val="00E6263B"/>
    <w:rsid w:val="00E63295"/>
    <w:rsid w:val="00E6357C"/>
    <w:rsid w:val="00E6394A"/>
    <w:rsid w:val="00E64A18"/>
    <w:rsid w:val="00E64A1D"/>
    <w:rsid w:val="00E6590A"/>
    <w:rsid w:val="00E67A84"/>
    <w:rsid w:val="00E717F3"/>
    <w:rsid w:val="00E71A31"/>
    <w:rsid w:val="00E73299"/>
    <w:rsid w:val="00E739AB"/>
    <w:rsid w:val="00E73EC8"/>
    <w:rsid w:val="00E741A6"/>
    <w:rsid w:val="00E749A9"/>
    <w:rsid w:val="00E752E9"/>
    <w:rsid w:val="00E76F9A"/>
    <w:rsid w:val="00E77AA6"/>
    <w:rsid w:val="00E80125"/>
    <w:rsid w:val="00E806B0"/>
    <w:rsid w:val="00E80A8D"/>
    <w:rsid w:val="00E80B78"/>
    <w:rsid w:val="00E84291"/>
    <w:rsid w:val="00E843E7"/>
    <w:rsid w:val="00E85CE7"/>
    <w:rsid w:val="00E86245"/>
    <w:rsid w:val="00E874B9"/>
    <w:rsid w:val="00E91D58"/>
    <w:rsid w:val="00E92602"/>
    <w:rsid w:val="00E93536"/>
    <w:rsid w:val="00E93919"/>
    <w:rsid w:val="00E93C91"/>
    <w:rsid w:val="00E946D1"/>
    <w:rsid w:val="00E954D6"/>
    <w:rsid w:val="00E95F6B"/>
    <w:rsid w:val="00E963BB"/>
    <w:rsid w:val="00E96983"/>
    <w:rsid w:val="00E96CC3"/>
    <w:rsid w:val="00EA12A4"/>
    <w:rsid w:val="00EA1D36"/>
    <w:rsid w:val="00EA25FE"/>
    <w:rsid w:val="00EA524D"/>
    <w:rsid w:val="00EA57AB"/>
    <w:rsid w:val="00EA5D0F"/>
    <w:rsid w:val="00EA5D18"/>
    <w:rsid w:val="00EA6610"/>
    <w:rsid w:val="00EA6A24"/>
    <w:rsid w:val="00EA6ED9"/>
    <w:rsid w:val="00EB256E"/>
    <w:rsid w:val="00EB32F9"/>
    <w:rsid w:val="00EB3C6C"/>
    <w:rsid w:val="00EB498F"/>
    <w:rsid w:val="00EB5866"/>
    <w:rsid w:val="00EB586F"/>
    <w:rsid w:val="00EB5E49"/>
    <w:rsid w:val="00EB7AF3"/>
    <w:rsid w:val="00EC0461"/>
    <w:rsid w:val="00EC0486"/>
    <w:rsid w:val="00EC0F77"/>
    <w:rsid w:val="00EC1F22"/>
    <w:rsid w:val="00EC2075"/>
    <w:rsid w:val="00EC2B6F"/>
    <w:rsid w:val="00EC30E4"/>
    <w:rsid w:val="00EC5105"/>
    <w:rsid w:val="00EC60E7"/>
    <w:rsid w:val="00EC7010"/>
    <w:rsid w:val="00ED179C"/>
    <w:rsid w:val="00ED20B7"/>
    <w:rsid w:val="00ED2177"/>
    <w:rsid w:val="00ED3870"/>
    <w:rsid w:val="00ED4028"/>
    <w:rsid w:val="00ED4C40"/>
    <w:rsid w:val="00ED5173"/>
    <w:rsid w:val="00ED51BC"/>
    <w:rsid w:val="00ED5909"/>
    <w:rsid w:val="00ED5BA3"/>
    <w:rsid w:val="00ED7352"/>
    <w:rsid w:val="00ED754F"/>
    <w:rsid w:val="00EE0806"/>
    <w:rsid w:val="00EE0833"/>
    <w:rsid w:val="00EE1145"/>
    <w:rsid w:val="00EE3623"/>
    <w:rsid w:val="00EE4E83"/>
    <w:rsid w:val="00EE50D9"/>
    <w:rsid w:val="00EE7678"/>
    <w:rsid w:val="00EE77A6"/>
    <w:rsid w:val="00EF025B"/>
    <w:rsid w:val="00EF19FA"/>
    <w:rsid w:val="00EF1DC2"/>
    <w:rsid w:val="00EF34CB"/>
    <w:rsid w:val="00EF422B"/>
    <w:rsid w:val="00EF458E"/>
    <w:rsid w:val="00EF4CCF"/>
    <w:rsid w:val="00EF55F9"/>
    <w:rsid w:val="00EF652B"/>
    <w:rsid w:val="00EF6BCB"/>
    <w:rsid w:val="00EF715C"/>
    <w:rsid w:val="00EF79D5"/>
    <w:rsid w:val="00EF7ECD"/>
    <w:rsid w:val="00F00441"/>
    <w:rsid w:val="00F01558"/>
    <w:rsid w:val="00F0159A"/>
    <w:rsid w:val="00F01963"/>
    <w:rsid w:val="00F01D89"/>
    <w:rsid w:val="00F07E02"/>
    <w:rsid w:val="00F100F6"/>
    <w:rsid w:val="00F1041D"/>
    <w:rsid w:val="00F107FB"/>
    <w:rsid w:val="00F10919"/>
    <w:rsid w:val="00F11A76"/>
    <w:rsid w:val="00F11B68"/>
    <w:rsid w:val="00F1209B"/>
    <w:rsid w:val="00F12974"/>
    <w:rsid w:val="00F12CE3"/>
    <w:rsid w:val="00F15521"/>
    <w:rsid w:val="00F15FBA"/>
    <w:rsid w:val="00F16044"/>
    <w:rsid w:val="00F168C3"/>
    <w:rsid w:val="00F17290"/>
    <w:rsid w:val="00F203CB"/>
    <w:rsid w:val="00F21589"/>
    <w:rsid w:val="00F217F8"/>
    <w:rsid w:val="00F21CBB"/>
    <w:rsid w:val="00F23BAD"/>
    <w:rsid w:val="00F255CF"/>
    <w:rsid w:val="00F2621E"/>
    <w:rsid w:val="00F26622"/>
    <w:rsid w:val="00F3029F"/>
    <w:rsid w:val="00F31137"/>
    <w:rsid w:val="00F312C4"/>
    <w:rsid w:val="00F32466"/>
    <w:rsid w:val="00F32AD0"/>
    <w:rsid w:val="00F32B50"/>
    <w:rsid w:val="00F34477"/>
    <w:rsid w:val="00F35B83"/>
    <w:rsid w:val="00F35DDA"/>
    <w:rsid w:val="00F35F4A"/>
    <w:rsid w:val="00F36BD3"/>
    <w:rsid w:val="00F374DE"/>
    <w:rsid w:val="00F37767"/>
    <w:rsid w:val="00F379A8"/>
    <w:rsid w:val="00F40D95"/>
    <w:rsid w:val="00F410F4"/>
    <w:rsid w:val="00F4142A"/>
    <w:rsid w:val="00F415F5"/>
    <w:rsid w:val="00F416F8"/>
    <w:rsid w:val="00F42CA5"/>
    <w:rsid w:val="00F4392C"/>
    <w:rsid w:val="00F444BA"/>
    <w:rsid w:val="00F44D48"/>
    <w:rsid w:val="00F44FEE"/>
    <w:rsid w:val="00F4654C"/>
    <w:rsid w:val="00F46B1B"/>
    <w:rsid w:val="00F4702B"/>
    <w:rsid w:val="00F503CD"/>
    <w:rsid w:val="00F504C2"/>
    <w:rsid w:val="00F50987"/>
    <w:rsid w:val="00F5194D"/>
    <w:rsid w:val="00F51DC1"/>
    <w:rsid w:val="00F5285C"/>
    <w:rsid w:val="00F52AC6"/>
    <w:rsid w:val="00F52B53"/>
    <w:rsid w:val="00F530DC"/>
    <w:rsid w:val="00F5468A"/>
    <w:rsid w:val="00F54805"/>
    <w:rsid w:val="00F54BB2"/>
    <w:rsid w:val="00F559FC"/>
    <w:rsid w:val="00F569AD"/>
    <w:rsid w:val="00F5787F"/>
    <w:rsid w:val="00F57FD6"/>
    <w:rsid w:val="00F60D06"/>
    <w:rsid w:val="00F61272"/>
    <w:rsid w:val="00F625DA"/>
    <w:rsid w:val="00F6278B"/>
    <w:rsid w:val="00F629C2"/>
    <w:rsid w:val="00F63C2F"/>
    <w:rsid w:val="00F641A6"/>
    <w:rsid w:val="00F64589"/>
    <w:rsid w:val="00F65AFD"/>
    <w:rsid w:val="00F674B9"/>
    <w:rsid w:val="00F6769A"/>
    <w:rsid w:val="00F67847"/>
    <w:rsid w:val="00F67A9A"/>
    <w:rsid w:val="00F67B05"/>
    <w:rsid w:val="00F67D5B"/>
    <w:rsid w:val="00F701B8"/>
    <w:rsid w:val="00F70BE7"/>
    <w:rsid w:val="00F71701"/>
    <w:rsid w:val="00F71F47"/>
    <w:rsid w:val="00F72302"/>
    <w:rsid w:val="00F72AC5"/>
    <w:rsid w:val="00F73A8F"/>
    <w:rsid w:val="00F74B63"/>
    <w:rsid w:val="00F75278"/>
    <w:rsid w:val="00F7530A"/>
    <w:rsid w:val="00F7566E"/>
    <w:rsid w:val="00F75728"/>
    <w:rsid w:val="00F802EE"/>
    <w:rsid w:val="00F804AA"/>
    <w:rsid w:val="00F82906"/>
    <w:rsid w:val="00F82C6D"/>
    <w:rsid w:val="00F833BC"/>
    <w:rsid w:val="00F83961"/>
    <w:rsid w:val="00F84963"/>
    <w:rsid w:val="00F84A5C"/>
    <w:rsid w:val="00F84AE8"/>
    <w:rsid w:val="00F84F65"/>
    <w:rsid w:val="00F854D1"/>
    <w:rsid w:val="00F86A66"/>
    <w:rsid w:val="00F86AE9"/>
    <w:rsid w:val="00F871E1"/>
    <w:rsid w:val="00F87E68"/>
    <w:rsid w:val="00F90398"/>
    <w:rsid w:val="00F906AA"/>
    <w:rsid w:val="00F92548"/>
    <w:rsid w:val="00F92F8A"/>
    <w:rsid w:val="00F934D3"/>
    <w:rsid w:val="00F944E4"/>
    <w:rsid w:val="00F944EC"/>
    <w:rsid w:val="00F956F1"/>
    <w:rsid w:val="00F95F78"/>
    <w:rsid w:val="00F96712"/>
    <w:rsid w:val="00F97B49"/>
    <w:rsid w:val="00FA006D"/>
    <w:rsid w:val="00FA06B2"/>
    <w:rsid w:val="00FA1743"/>
    <w:rsid w:val="00FA1D59"/>
    <w:rsid w:val="00FA2CE2"/>
    <w:rsid w:val="00FA3DAB"/>
    <w:rsid w:val="00FA4BBD"/>
    <w:rsid w:val="00FA6C34"/>
    <w:rsid w:val="00FA739D"/>
    <w:rsid w:val="00FB13D0"/>
    <w:rsid w:val="00FB1994"/>
    <w:rsid w:val="00FB22AA"/>
    <w:rsid w:val="00FB3572"/>
    <w:rsid w:val="00FB4EE3"/>
    <w:rsid w:val="00FB540E"/>
    <w:rsid w:val="00FB6076"/>
    <w:rsid w:val="00FB651A"/>
    <w:rsid w:val="00FB74F3"/>
    <w:rsid w:val="00FB7DE9"/>
    <w:rsid w:val="00FB7FC5"/>
    <w:rsid w:val="00FC03EF"/>
    <w:rsid w:val="00FC0663"/>
    <w:rsid w:val="00FC0801"/>
    <w:rsid w:val="00FC1421"/>
    <w:rsid w:val="00FC1448"/>
    <w:rsid w:val="00FC19C6"/>
    <w:rsid w:val="00FC1BED"/>
    <w:rsid w:val="00FC1EA5"/>
    <w:rsid w:val="00FC2972"/>
    <w:rsid w:val="00FC3221"/>
    <w:rsid w:val="00FC3535"/>
    <w:rsid w:val="00FC44C3"/>
    <w:rsid w:val="00FC732B"/>
    <w:rsid w:val="00FC7766"/>
    <w:rsid w:val="00FC7B87"/>
    <w:rsid w:val="00FD0130"/>
    <w:rsid w:val="00FD07D7"/>
    <w:rsid w:val="00FD0E6D"/>
    <w:rsid w:val="00FD1BF6"/>
    <w:rsid w:val="00FD26B1"/>
    <w:rsid w:val="00FD2E97"/>
    <w:rsid w:val="00FD319C"/>
    <w:rsid w:val="00FD4004"/>
    <w:rsid w:val="00FD6913"/>
    <w:rsid w:val="00FE0B87"/>
    <w:rsid w:val="00FE238E"/>
    <w:rsid w:val="00FE2C7A"/>
    <w:rsid w:val="00FE4277"/>
    <w:rsid w:val="00FE48A2"/>
    <w:rsid w:val="00FE5AA5"/>
    <w:rsid w:val="00FE6C36"/>
    <w:rsid w:val="00FF0E0A"/>
    <w:rsid w:val="00FF1036"/>
    <w:rsid w:val="00FF1389"/>
    <w:rsid w:val="00FF1E90"/>
    <w:rsid w:val="00FF2C3E"/>
    <w:rsid w:val="00FF34C7"/>
    <w:rsid w:val="00FF5B49"/>
    <w:rsid w:val="00FF6829"/>
    <w:rsid w:val="00FF6A91"/>
    <w:rsid w:val="00FF7607"/>
    <w:rsid w:val="00FF7B78"/>
    <w:rsid w:val="00FF7BB9"/>
    <w:rsid w:val="00FF7E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2D3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iPriority="6"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999"/>
  </w:style>
  <w:style w:type="paragraph" w:styleId="Heading1">
    <w:name w:val="heading 1"/>
    <w:basedOn w:val="Normal"/>
    <w:next w:val="Normal"/>
    <w:link w:val="Heading1Char"/>
    <w:uiPriority w:val="9"/>
    <w:qFormat/>
    <w:rsid w:val="00B1119B"/>
    <w:pPr>
      <w:keepNext/>
      <w:keepLines/>
      <w:pBdr>
        <w:bottom w:val="single" w:sz="4" w:space="1" w:color="BE830E" w:themeColor="accent1"/>
      </w:pBdr>
      <w:spacing w:before="400" w:after="360" w:line="240" w:lineRule="auto"/>
      <w:outlineLvl w:val="0"/>
    </w:pPr>
    <w:rPr>
      <w:rFonts w:asciiTheme="majorHAnsi" w:eastAsiaTheme="majorEastAsia" w:hAnsiTheme="majorHAnsi" w:cstheme="majorBidi"/>
      <w:color w:val="8E610A" w:themeColor="accent1" w:themeShade="BF"/>
      <w:sz w:val="36"/>
      <w:szCs w:val="36"/>
    </w:rPr>
  </w:style>
  <w:style w:type="paragraph" w:styleId="Heading2">
    <w:name w:val="heading 2"/>
    <w:basedOn w:val="Normal"/>
    <w:next w:val="Normal"/>
    <w:link w:val="Heading2Char"/>
    <w:uiPriority w:val="9"/>
    <w:unhideWhenUsed/>
    <w:qFormat/>
    <w:rsid w:val="00B1119B"/>
    <w:pPr>
      <w:keepNext/>
      <w:keepLines/>
      <w:spacing w:before="160" w:after="240" w:line="240" w:lineRule="auto"/>
      <w:outlineLvl w:val="1"/>
    </w:pPr>
    <w:rPr>
      <w:rFonts w:asciiTheme="majorHAnsi" w:eastAsiaTheme="majorEastAsia" w:hAnsiTheme="majorHAnsi" w:cstheme="majorBidi"/>
      <w:color w:val="8E610A" w:themeColor="accent1" w:themeShade="BF"/>
      <w:sz w:val="28"/>
      <w:szCs w:val="28"/>
    </w:rPr>
  </w:style>
  <w:style w:type="paragraph" w:styleId="Heading3">
    <w:name w:val="heading 3"/>
    <w:basedOn w:val="Normal"/>
    <w:next w:val="Normal"/>
    <w:link w:val="Heading3Char"/>
    <w:uiPriority w:val="9"/>
    <w:unhideWhenUsed/>
    <w:qFormat/>
    <w:rsid w:val="00B1119B"/>
    <w:pPr>
      <w:keepNext/>
      <w:keepLines/>
      <w:spacing w:before="8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C53999"/>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53999"/>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53999"/>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53999"/>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5399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5399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5"/>
    <w:rsid w:val="0025142E"/>
    <w:pPr>
      <w:numPr>
        <w:numId w:val="18"/>
      </w:numPr>
    </w:pPr>
  </w:style>
  <w:style w:type="table" w:styleId="TableGrid">
    <w:name w:val="Table Grid"/>
    <w:basedOn w:val="TableNormal"/>
    <w:uiPriority w:val="39"/>
    <w:rsid w:val="00F90398"/>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F1041D"/>
    <w:pPr>
      <w:tabs>
        <w:tab w:val="left" w:pos="567"/>
        <w:tab w:val="right" w:leader="dot" w:pos="9639"/>
      </w:tabs>
      <w:ind w:left="567" w:hanging="567"/>
    </w:pPr>
  </w:style>
  <w:style w:type="paragraph" w:styleId="BalloonText">
    <w:name w:val="Balloon Text"/>
    <w:basedOn w:val="Normal"/>
    <w:link w:val="BalloonTextChar"/>
    <w:uiPriority w:val="99"/>
    <w:semiHidden/>
    <w:unhideWhenUsed/>
    <w:rsid w:val="00F90398"/>
    <w:rPr>
      <w:rFonts w:ascii="Tahoma" w:hAnsi="Tahoma" w:cs="Lucida Grande"/>
      <w:sz w:val="16"/>
      <w:szCs w:val="16"/>
      <w:lang w:val="x-none" w:bidi="he-IL"/>
    </w:rPr>
  </w:style>
  <w:style w:type="character" w:customStyle="1" w:styleId="BalloonTextChar">
    <w:name w:val="Balloon Text Char"/>
    <w:link w:val="BalloonText"/>
    <w:uiPriority w:val="99"/>
    <w:semiHidden/>
    <w:rsid w:val="00F90398"/>
    <w:rPr>
      <w:rFonts w:ascii="Tahoma" w:hAnsi="Tahoma" w:cs="Lucida Grande"/>
      <w:color w:val="000000" w:themeColor="text1"/>
      <w:sz w:val="16"/>
      <w:szCs w:val="16"/>
      <w:lang w:val="x-none" w:bidi="he-IL"/>
    </w:rPr>
  </w:style>
  <w:style w:type="paragraph" w:styleId="Bibliography">
    <w:name w:val="Bibliography"/>
    <w:basedOn w:val="Normal"/>
    <w:next w:val="Normal"/>
    <w:uiPriority w:val="37"/>
    <w:semiHidden/>
    <w:rsid w:val="00FB4EE3"/>
  </w:style>
  <w:style w:type="paragraph" w:styleId="BlockText">
    <w:name w:val="Block Text"/>
    <w:basedOn w:val="Normal"/>
    <w:uiPriority w:val="99"/>
    <w:semiHidden/>
    <w:unhideWhenUsed/>
    <w:rsid w:val="00D969E9"/>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pPr>
    <w:rPr>
      <w:iCs/>
      <w:color w:val="000000" w:themeColor="text2"/>
    </w:rPr>
  </w:style>
  <w:style w:type="paragraph" w:styleId="Subtitle">
    <w:name w:val="Subtitle"/>
    <w:basedOn w:val="Normal"/>
    <w:next w:val="Normal"/>
    <w:link w:val="SubtitleChar"/>
    <w:uiPriority w:val="11"/>
    <w:qFormat/>
    <w:rsid w:val="00C5399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53999"/>
    <w:rPr>
      <w:rFonts w:asciiTheme="majorHAnsi" w:eastAsiaTheme="majorEastAsia" w:hAnsiTheme="majorHAnsi" w:cstheme="majorBidi"/>
      <w:color w:val="404040" w:themeColor="text1" w:themeTint="BF"/>
      <w:sz w:val="30"/>
      <w:szCs w:val="30"/>
    </w:rPr>
  </w:style>
  <w:style w:type="paragraph" w:styleId="BodyTextIndent2">
    <w:name w:val="Body Text Indent 2"/>
    <w:basedOn w:val="Normal"/>
    <w:link w:val="BodyTextIndent2Char"/>
    <w:uiPriority w:val="99"/>
    <w:semiHidden/>
    <w:unhideWhenUsed/>
    <w:rsid w:val="00F90398"/>
    <w:pPr>
      <w:spacing w:line="480" w:lineRule="auto"/>
      <w:ind w:left="283"/>
    </w:pPr>
  </w:style>
  <w:style w:type="character" w:customStyle="1" w:styleId="BodyTextIndent2Char">
    <w:name w:val="Body Text Indent 2 Char"/>
    <w:basedOn w:val="DefaultParagraphFont"/>
    <w:link w:val="BodyTextIndent2"/>
    <w:uiPriority w:val="99"/>
    <w:semiHidden/>
    <w:rsid w:val="00F90398"/>
    <w:rPr>
      <w:color w:val="000000" w:themeColor="text1"/>
      <w:sz w:val="20"/>
      <w:szCs w:val="20"/>
    </w:rPr>
  </w:style>
  <w:style w:type="character" w:styleId="BookTitle">
    <w:name w:val="Book Title"/>
    <w:basedOn w:val="DefaultParagraphFont"/>
    <w:uiPriority w:val="33"/>
    <w:qFormat/>
    <w:rsid w:val="00C53999"/>
    <w:rPr>
      <w:b/>
      <w:bCs/>
      <w:smallCaps/>
    </w:rPr>
  </w:style>
  <w:style w:type="paragraph" w:styleId="Closing">
    <w:name w:val="Closing"/>
    <w:basedOn w:val="Normal"/>
    <w:link w:val="ClosingChar"/>
    <w:uiPriority w:val="99"/>
    <w:semiHidden/>
    <w:unhideWhenUsed/>
    <w:rsid w:val="00F90398"/>
    <w:pPr>
      <w:ind w:left="4252"/>
    </w:pPr>
  </w:style>
  <w:style w:type="character" w:customStyle="1" w:styleId="ClosingChar">
    <w:name w:val="Closing Char"/>
    <w:basedOn w:val="DefaultParagraphFont"/>
    <w:link w:val="Closing"/>
    <w:uiPriority w:val="99"/>
    <w:semiHidden/>
    <w:rsid w:val="00F90398"/>
    <w:rPr>
      <w:color w:val="000000" w:themeColor="text1"/>
      <w:sz w:val="20"/>
      <w:szCs w:val="20"/>
    </w:rPr>
  </w:style>
  <w:style w:type="table" w:styleId="ColorfulGrid">
    <w:name w:val="Colorful Grid"/>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AE8C5" w:themeFill="accent1" w:themeFillTint="33"/>
      <w:tcMar>
        <w:top w:w="57" w:type="dxa"/>
        <w:left w:w="57" w:type="dxa"/>
        <w:bottom w:w="57" w:type="dxa"/>
        <w:right w:w="57" w:type="dxa"/>
      </w:tcMar>
    </w:tcPr>
    <w:tblStylePr w:type="firstRow">
      <w:rPr>
        <w:rFonts w:asciiTheme="majorHAnsi" w:hAnsiTheme="majorHAnsi"/>
        <w:b/>
        <w:bCs/>
      </w:rPr>
      <w:tblPr/>
      <w:tcPr>
        <w:shd w:val="clear" w:color="auto" w:fill="F6D28C" w:themeFill="accent1" w:themeFillTint="66"/>
      </w:tcPr>
    </w:tblStylePr>
    <w:tblStylePr w:type="lastRow">
      <w:rPr>
        <w:b/>
        <w:bCs/>
        <w:color w:val="000000" w:themeColor="text1"/>
      </w:rPr>
      <w:tblPr/>
      <w:tcPr>
        <w:shd w:val="clear" w:color="auto" w:fill="F6D28C" w:themeFill="accent1" w:themeFillTint="66"/>
      </w:tcPr>
    </w:tblStylePr>
    <w:tblStylePr w:type="firstCol">
      <w:rPr>
        <w:color w:val="FFFFFF" w:themeColor="background1"/>
      </w:rPr>
      <w:tblPr/>
      <w:tcPr>
        <w:shd w:val="clear" w:color="auto" w:fill="8E610A" w:themeFill="accent1" w:themeFillShade="BF"/>
      </w:tcPr>
    </w:tblStylePr>
    <w:tblStylePr w:type="lastCol">
      <w:rPr>
        <w:color w:val="FFFFFF" w:themeColor="background1"/>
      </w:rPr>
      <w:tblPr/>
      <w:tcPr>
        <w:shd w:val="clear" w:color="auto" w:fill="8E610A" w:themeFill="accent1" w:themeFillShade="BF"/>
      </w:tcPr>
    </w:tblStylePr>
    <w:tblStylePr w:type="band1Vert">
      <w:tblPr/>
      <w:tcPr>
        <w:shd w:val="clear" w:color="auto" w:fill="F4C870" w:themeFill="accent1" w:themeFillTint="7F"/>
      </w:tcPr>
    </w:tblStylePr>
    <w:tblStylePr w:type="band1Horz">
      <w:tblPr/>
      <w:tcPr>
        <w:shd w:val="clear" w:color="auto" w:fill="F4C870" w:themeFill="accent1" w:themeFillTint="7F"/>
      </w:tcPr>
    </w:tblStylePr>
  </w:style>
  <w:style w:type="table" w:styleId="ColorfulGrid-Accent2">
    <w:name w:val="Colorful Grid Accent 2"/>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8F2E6" w:themeFill="accent2" w:themeFillTint="33"/>
      <w:tcMar>
        <w:top w:w="57" w:type="dxa"/>
        <w:left w:w="57" w:type="dxa"/>
        <w:bottom w:w="57" w:type="dxa"/>
        <w:right w:w="57" w:type="dxa"/>
      </w:tcMar>
    </w:tcPr>
    <w:tblStylePr w:type="firstRow">
      <w:rPr>
        <w:rFonts w:asciiTheme="majorHAnsi" w:hAnsiTheme="majorHAnsi"/>
        <w:b/>
        <w:bCs/>
      </w:rPr>
      <w:tblPr/>
      <w:tcPr>
        <w:shd w:val="clear" w:color="auto" w:fill="F2E6CE" w:themeFill="accent2" w:themeFillTint="66"/>
      </w:tcPr>
    </w:tblStylePr>
    <w:tblStylePr w:type="lastRow">
      <w:rPr>
        <w:b/>
        <w:bCs/>
        <w:color w:val="000000" w:themeColor="text1"/>
      </w:rPr>
      <w:tblPr/>
      <w:tcPr>
        <w:shd w:val="clear" w:color="auto" w:fill="F2E6CE" w:themeFill="accent2" w:themeFillTint="66"/>
      </w:tcPr>
    </w:tblStylePr>
    <w:tblStylePr w:type="firstCol">
      <w:rPr>
        <w:color w:val="FFFFFF" w:themeColor="background1"/>
      </w:rPr>
      <w:tblPr/>
      <w:tcPr>
        <w:shd w:val="clear" w:color="auto" w:fill="CC9C40" w:themeFill="accent2" w:themeFillShade="BF"/>
      </w:tcPr>
    </w:tblStylePr>
    <w:tblStylePr w:type="lastCol">
      <w:rPr>
        <w:color w:val="FFFFFF" w:themeColor="background1"/>
      </w:rPr>
      <w:tblPr/>
      <w:tcPr>
        <w:shd w:val="clear" w:color="auto" w:fill="CC9C40" w:themeFill="accent2" w:themeFillShade="BF"/>
      </w:tcPr>
    </w:tblStylePr>
    <w:tblStylePr w:type="band1Vert">
      <w:tblPr/>
      <w:tcPr>
        <w:shd w:val="clear" w:color="auto" w:fill="EFDFC3" w:themeFill="accent2" w:themeFillTint="7F"/>
      </w:tcPr>
    </w:tblStylePr>
    <w:tblStylePr w:type="band1Horz">
      <w:tblPr/>
      <w:tcPr>
        <w:shd w:val="clear" w:color="auto" w:fill="EFDFC3" w:themeFill="accent2" w:themeFillTint="7F"/>
      </w:tcPr>
    </w:tblStylePr>
  </w:style>
  <w:style w:type="table" w:styleId="ColorfulGrid-Accent3">
    <w:name w:val="Colorful Grid Accent 3"/>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DFBF8" w:themeFill="accent3" w:themeFillTint="33"/>
      <w:tcMar>
        <w:top w:w="57" w:type="dxa"/>
        <w:left w:w="57" w:type="dxa"/>
        <w:bottom w:w="57" w:type="dxa"/>
        <w:right w:w="57" w:type="dxa"/>
      </w:tcMar>
    </w:tcPr>
    <w:tblStylePr w:type="firstRow">
      <w:rPr>
        <w:rFonts w:asciiTheme="majorHAnsi" w:hAnsiTheme="majorHAnsi"/>
        <w:b/>
        <w:bCs/>
      </w:rPr>
      <w:tblPr/>
      <w:tcPr>
        <w:shd w:val="clear" w:color="auto" w:fill="FBF7F1" w:themeFill="accent3" w:themeFillTint="66"/>
      </w:tcPr>
    </w:tblStylePr>
    <w:tblStylePr w:type="lastRow">
      <w:rPr>
        <w:b/>
        <w:bCs/>
        <w:color w:val="000000" w:themeColor="text1"/>
      </w:rPr>
      <w:tblPr/>
      <w:tcPr>
        <w:shd w:val="clear" w:color="auto" w:fill="FBF7F1" w:themeFill="accent3" w:themeFillTint="66"/>
      </w:tcPr>
    </w:tblStylePr>
    <w:tblStylePr w:type="firstCol">
      <w:rPr>
        <w:color w:val="FFFFFF" w:themeColor="background1"/>
      </w:rPr>
      <w:tblPr/>
      <w:tcPr>
        <w:shd w:val="clear" w:color="auto" w:fill="D9BB83" w:themeFill="accent3" w:themeFillShade="BF"/>
      </w:tcPr>
    </w:tblStylePr>
    <w:tblStylePr w:type="lastCol">
      <w:rPr>
        <w:color w:val="FFFFFF" w:themeColor="background1"/>
      </w:rPr>
      <w:tblPr/>
      <w:tcPr>
        <w:shd w:val="clear" w:color="auto" w:fill="D9BB83" w:themeFill="accent3" w:themeFillShade="BF"/>
      </w:tcPr>
    </w:tblStylePr>
    <w:tblStylePr w:type="band1Vert">
      <w:tblPr/>
      <w:tcPr>
        <w:shd w:val="clear" w:color="auto" w:fill="FAF5EE" w:themeFill="accent3" w:themeFillTint="7F"/>
      </w:tcPr>
    </w:tblStylePr>
    <w:tblStylePr w:type="band1Horz">
      <w:tblPr/>
      <w:tcPr>
        <w:shd w:val="clear" w:color="auto" w:fill="FAF5EE" w:themeFill="accent3" w:themeFillTint="7F"/>
      </w:tcPr>
    </w:tblStylePr>
  </w:style>
  <w:style w:type="table" w:styleId="ColorfulGrid-Accent4">
    <w:name w:val="Colorful Grid Accent 4"/>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AD8C5" w:themeFill="accent4" w:themeFillTint="33"/>
      <w:tcMar>
        <w:top w:w="57" w:type="dxa"/>
        <w:left w:w="57" w:type="dxa"/>
        <w:bottom w:w="57" w:type="dxa"/>
        <w:right w:w="57" w:type="dxa"/>
      </w:tcMar>
    </w:tcPr>
    <w:tblStylePr w:type="firstRow">
      <w:rPr>
        <w:rFonts w:asciiTheme="majorHAnsi" w:hAnsiTheme="majorHAnsi"/>
        <w:b/>
        <w:bCs/>
      </w:rPr>
      <w:tblPr/>
      <w:tcPr>
        <w:shd w:val="clear" w:color="auto" w:fill="F6B28C" w:themeFill="accent4" w:themeFillTint="66"/>
      </w:tcPr>
    </w:tblStylePr>
    <w:tblStylePr w:type="lastRow">
      <w:rPr>
        <w:b/>
        <w:bCs/>
        <w:color w:val="000000" w:themeColor="text1"/>
      </w:rPr>
      <w:tblPr/>
      <w:tcPr>
        <w:shd w:val="clear" w:color="auto" w:fill="F6B28C" w:themeFill="accent4" w:themeFillTint="66"/>
      </w:tcPr>
    </w:tblStylePr>
    <w:tblStylePr w:type="firstCol">
      <w:rPr>
        <w:color w:val="FFFFFF" w:themeColor="background1"/>
      </w:rPr>
      <w:tblPr/>
      <w:tcPr>
        <w:shd w:val="clear" w:color="auto" w:fill="8E3A0A" w:themeFill="accent4" w:themeFillShade="BF"/>
      </w:tcPr>
    </w:tblStylePr>
    <w:tblStylePr w:type="lastCol">
      <w:rPr>
        <w:color w:val="FFFFFF" w:themeColor="background1"/>
      </w:rPr>
      <w:tblPr/>
      <w:tcPr>
        <w:shd w:val="clear" w:color="auto" w:fill="8E3A0A" w:themeFill="accent4" w:themeFillShade="BF"/>
      </w:tcPr>
    </w:tblStylePr>
    <w:tblStylePr w:type="band1Vert">
      <w:tblPr/>
      <w:tcPr>
        <w:shd w:val="clear" w:color="auto" w:fill="F4A070" w:themeFill="accent4" w:themeFillTint="7F"/>
      </w:tcPr>
    </w:tblStylePr>
    <w:tblStylePr w:type="band1Horz">
      <w:tblPr/>
      <w:tcPr>
        <w:shd w:val="clear" w:color="auto" w:fill="F4A070" w:themeFill="accent4" w:themeFillTint="7F"/>
      </w:tcPr>
    </w:tblStylePr>
  </w:style>
  <w:style w:type="table" w:styleId="ColorfulGrid-Accent5">
    <w:name w:val="Colorful Grid Accent 5"/>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4E2DC" w:themeFill="accent5" w:themeFillTint="33"/>
      <w:tcMar>
        <w:top w:w="57" w:type="dxa"/>
        <w:left w:w="57" w:type="dxa"/>
        <w:bottom w:w="57" w:type="dxa"/>
        <w:right w:w="57" w:type="dxa"/>
      </w:tcMar>
    </w:tcPr>
    <w:tblStylePr w:type="firstRow">
      <w:rPr>
        <w:rFonts w:asciiTheme="majorHAnsi" w:hAnsiTheme="majorHAnsi"/>
        <w:b/>
        <w:bCs/>
      </w:rPr>
      <w:tblPr/>
      <w:tcPr>
        <w:shd w:val="clear" w:color="auto" w:fill="EAC6B9" w:themeFill="accent5" w:themeFillTint="66"/>
      </w:tcPr>
    </w:tblStylePr>
    <w:tblStylePr w:type="lastRow">
      <w:rPr>
        <w:b/>
        <w:bCs/>
        <w:color w:val="000000" w:themeColor="text1"/>
      </w:rPr>
      <w:tblPr/>
      <w:tcPr>
        <w:shd w:val="clear" w:color="auto" w:fill="EAC6B9" w:themeFill="accent5" w:themeFillTint="66"/>
      </w:tcPr>
    </w:tblStylePr>
    <w:tblStylePr w:type="firstCol">
      <w:rPr>
        <w:color w:val="FFFFFF" w:themeColor="background1"/>
      </w:rPr>
      <w:tblPr/>
      <w:tcPr>
        <w:shd w:val="clear" w:color="auto" w:fill="A35031" w:themeFill="accent5" w:themeFillShade="BF"/>
      </w:tcPr>
    </w:tblStylePr>
    <w:tblStylePr w:type="lastCol">
      <w:rPr>
        <w:color w:val="FFFFFF" w:themeColor="background1"/>
      </w:rPr>
      <w:tblPr/>
      <w:tcPr>
        <w:shd w:val="clear" w:color="auto" w:fill="A35031" w:themeFill="accent5" w:themeFillShade="BF"/>
      </w:tcPr>
    </w:tblStylePr>
    <w:tblStylePr w:type="band1Vert">
      <w:tblPr/>
      <w:tcPr>
        <w:shd w:val="clear" w:color="auto" w:fill="E5B8A8" w:themeFill="accent5" w:themeFillTint="7F"/>
      </w:tcPr>
    </w:tblStylePr>
    <w:tblStylePr w:type="band1Horz">
      <w:tblPr/>
      <w:tcPr>
        <w:shd w:val="clear" w:color="auto" w:fill="E5B8A8" w:themeFill="accent5" w:themeFillTint="7F"/>
      </w:tcPr>
    </w:tblStylePr>
  </w:style>
  <w:style w:type="table" w:styleId="ColorfulGrid-Accent6">
    <w:name w:val="Colorful Grid Accent 6"/>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CF7F6" w:themeFill="accent6" w:themeFillTint="33"/>
      <w:tcMar>
        <w:top w:w="57" w:type="dxa"/>
        <w:left w:w="57" w:type="dxa"/>
        <w:bottom w:w="57" w:type="dxa"/>
        <w:right w:w="57" w:type="dxa"/>
      </w:tcMar>
    </w:tcPr>
    <w:tblStylePr w:type="firstRow">
      <w:rPr>
        <w:rFonts w:asciiTheme="majorHAnsi" w:hAnsiTheme="majorHAnsi"/>
        <w:b/>
        <w:bCs/>
      </w:rPr>
      <w:tblPr/>
      <w:tcPr>
        <w:shd w:val="clear" w:color="auto" w:fill="F9F0ED" w:themeFill="accent6" w:themeFillTint="66"/>
      </w:tcPr>
    </w:tblStylePr>
    <w:tblStylePr w:type="lastRow">
      <w:rPr>
        <w:b/>
        <w:bCs/>
        <w:color w:val="000000" w:themeColor="text1"/>
      </w:rPr>
      <w:tblPr/>
      <w:tcPr>
        <w:shd w:val="clear" w:color="auto" w:fill="F9F0ED" w:themeFill="accent6" w:themeFillTint="66"/>
      </w:tcPr>
    </w:tblStylePr>
    <w:tblStylePr w:type="firstCol">
      <w:rPr>
        <w:color w:val="FFFFFF" w:themeColor="background1"/>
      </w:rPr>
      <w:tblPr/>
      <w:tcPr>
        <w:shd w:val="clear" w:color="auto" w:fill="D7947C" w:themeFill="accent6" w:themeFillShade="BF"/>
      </w:tcPr>
    </w:tblStylePr>
    <w:tblStylePr w:type="lastCol">
      <w:rPr>
        <w:color w:val="FFFFFF" w:themeColor="background1"/>
      </w:rPr>
      <w:tblPr/>
      <w:tcPr>
        <w:shd w:val="clear" w:color="auto" w:fill="D7947C" w:themeFill="accent6" w:themeFillShade="BF"/>
      </w:tcPr>
    </w:tblStylePr>
    <w:tblStylePr w:type="band1Vert">
      <w:tblPr/>
      <w:tcPr>
        <w:shd w:val="clear" w:color="auto" w:fill="F8EDE9" w:themeFill="accent6" w:themeFillTint="7F"/>
      </w:tcPr>
    </w:tblStylePr>
    <w:tblStylePr w:type="band1Horz">
      <w:tblPr/>
      <w:tcPr>
        <w:shd w:val="clear" w:color="auto" w:fill="F8EDE9" w:themeFill="accent6" w:themeFillTint="7F"/>
      </w:tcPr>
    </w:tblStylePr>
  </w:style>
  <w:style w:type="table" w:styleId="ColorfulList">
    <w:name w:val="Colorful List"/>
    <w:basedOn w:val="TableNormal"/>
    <w:uiPriority w:val="72"/>
    <w:rsid w:val="00F90398"/>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F90398"/>
    <w:rPr>
      <w:rFonts w:eastAsia="MS Mincho"/>
      <w:color w:val="000000" w:themeColor="text1"/>
      <w:lang w:val="en-GB" w:eastAsia="en-GB"/>
    </w:rPr>
    <w:tblPr>
      <w:tblStyleRowBandSize w:val="1"/>
      <w:tblStyleColBandSize w:val="1"/>
    </w:tblPr>
    <w:tcPr>
      <w:shd w:val="clear" w:color="auto" w:fill="FDF4E3"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3B8" w:themeFill="accent1" w:themeFillTint="3F"/>
      </w:tcPr>
    </w:tblStylePr>
    <w:tblStylePr w:type="band1Horz">
      <w:tblPr/>
      <w:tcPr>
        <w:shd w:val="clear" w:color="auto" w:fill="FAE8C5" w:themeFill="accent1" w:themeFillTint="33"/>
      </w:tcPr>
    </w:tblStylePr>
  </w:style>
  <w:style w:type="table" w:styleId="ColorfulList-Accent2">
    <w:name w:val="Colorful List Accent 2"/>
    <w:basedOn w:val="TableNormal"/>
    <w:uiPriority w:val="72"/>
    <w:rsid w:val="00F90398"/>
    <w:rPr>
      <w:rFonts w:eastAsia="MS Mincho"/>
      <w:color w:val="000000" w:themeColor="text1"/>
      <w:lang w:val="en-GB" w:eastAsia="en-GB"/>
    </w:rPr>
    <w:tblPr>
      <w:tblStyleRowBandSize w:val="1"/>
      <w:tblStyleColBandSize w:val="1"/>
    </w:tblPr>
    <w:tcPr>
      <w:shd w:val="clear" w:color="auto" w:fill="FCF8F3"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FE1" w:themeFill="accent2" w:themeFillTint="3F"/>
      </w:tcPr>
    </w:tblStylePr>
    <w:tblStylePr w:type="band1Horz">
      <w:tblPr/>
      <w:tcPr>
        <w:shd w:val="clear" w:color="auto" w:fill="F8F2E6" w:themeFill="accent2" w:themeFillTint="33"/>
      </w:tcPr>
    </w:tblStylePr>
  </w:style>
  <w:style w:type="table" w:styleId="ColorfulList-Accent3">
    <w:name w:val="Colorful List Accent 3"/>
    <w:basedOn w:val="TableNormal"/>
    <w:uiPriority w:val="72"/>
    <w:rsid w:val="00F90398"/>
    <w:rPr>
      <w:rFonts w:eastAsia="MS Mincho"/>
      <w:color w:val="000000" w:themeColor="text1"/>
      <w:lang w:val="en-GB" w:eastAsia="en-GB"/>
    </w:rPr>
    <w:tblPr>
      <w:tblStyleRowBandSize w:val="1"/>
      <w:tblStyleColBandSize w:val="1"/>
    </w:tblPr>
    <w:tcPr>
      <w:shd w:val="clear" w:color="auto" w:fill="FEFDFB"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73D0B" w:themeFill="accent4" w:themeFillShade="CC"/>
      </w:tcPr>
    </w:tblStylePr>
    <w:tblStylePr w:type="lastRow">
      <w:rPr>
        <w:b/>
        <w:bCs/>
        <w:color w:val="973D0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6" w:themeFill="accent3" w:themeFillTint="3F"/>
      </w:tcPr>
    </w:tblStylePr>
    <w:tblStylePr w:type="band1Horz">
      <w:tblPr/>
      <w:tcPr>
        <w:shd w:val="clear" w:color="auto" w:fill="FDFBF8" w:themeFill="accent3" w:themeFillTint="33"/>
      </w:tcPr>
    </w:tblStylePr>
  </w:style>
  <w:style w:type="table" w:styleId="ColorfulList-Accent4">
    <w:name w:val="Colorful List Accent 4"/>
    <w:basedOn w:val="TableNormal"/>
    <w:uiPriority w:val="72"/>
    <w:rsid w:val="00F90398"/>
    <w:rPr>
      <w:rFonts w:eastAsia="MS Mincho"/>
      <w:color w:val="000000" w:themeColor="text1"/>
      <w:lang w:val="en-GB" w:eastAsia="en-GB"/>
    </w:rPr>
    <w:tblPr>
      <w:tblStyleRowBandSize w:val="1"/>
      <w:tblStyleColBandSize w:val="1"/>
    </w:tblPr>
    <w:tcPr>
      <w:shd w:val="clear" w:color="auto" w:fill="FDECE3"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FC596" w:themeFill="accent3" w:themeFillShade="CC"/>
      </w:tcPr>
    </w:tblStylePr>
    <w:tblStylePr w:type="lastRow">
      <w:rPr>
        <w:b/>
        <w:bCs/>
        <w:color w:val="DFC59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0B8" w:themeFill="accent4" w:themeFillTint="3F"/>
      </w:tcPr>
    </w:tblStylePr>
    <w:tblStylePr w:type="band1Horz">
      <w:tblPr/>
      <w:tcPr>
        <w:shd w:val="clear" w:color="auto" w:fill="FAD8C5" w:themeFill="accent4" w:themeFillTint="33"/>
      </w:tcPr>
    </w:tblStylePr>
  </w:style>
  <w:style w:type="table" w:styleId="ColorfulList-Accent5">
    <w:name w:val="Colorful List Accent 5"/>
    <w:basedOn w:val="TableNormal"/>
    <w:uiPriority w:val="72"/>
    <w:rsid w:val="00F90398"/>
    <w:rPr>
      <w:rFonts w:eastAsia="MS Mincho"/>
      <w:color w:val="000000" w:themeColor="text1"/>
      <w:lang w:val="en-GB" w:eastAsia="en-GB"/>
    </w:rPr>
    <w:tblPr>
      <w:tblStyleRowBandSize w:val="1"/>
      <w:tblStyleColBandSize w:val="1"/>
    </w:tblPr>
    <w:tcPr>
      <w:shd w:val="clear" w:color="auto" w:fill="F9F1ED"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DA38E" w:themeFill="accent6" w:themeFillShade="CC"/>
      </w:tcPr>
    </w:tblStylePr>
    <w:tblStylePr w:type="lastRow">
      <w:rPr>
        <w:b/>
        <w:bCs/>
        <w:color w:val="DDA38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CD4" w:themeFill="accent5" w:themeFillTint="3F"/>
      </w:tcPr>
    </w:tblStylePr>
    <w:tblStylePr w:type="band1Horz">
      <w:tblPr/>
      <w:tcPr>
        <w:shd w:val="clear" w:color="auto" w:fill="F4E2DC" w:themeFill="accent5" w:themeFillTint="33"/>
      </w:tcPr>
    </w:tblStylePr>
  </w:style>
  <w:style w:type="table" w:styleId="ColorfulList-Accent6">
    <w:name w:val="Colorful List Accent 6"/>
    <w:basedOn w:val="TableNormal"/>
    <w:uiPriority w:val="72"/>
    <w:rsid w:val="00F90398"/>
    <w:rPr>
      <w:rFonts w:eastAsia="MS Mincho"/>
      <w:color w:val="000000" w:themeColor="text1"/>
      <w:lang w:val="en-GB" w:eastAsia="en-GB"/>
    </w:rPr>
    <w:tblPr>
      <w:tblStyleRowBandSize w:val="1"/>
      <w:tblStyleColBandSize w:val="1"/>
    </w:tblPr>
    <w:tcPr>
      <w:shd w:val="clear" w:color="auto" w:fill="FDFBFA"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F5534" w:themeFill="accent5" w:themeFillShade="CC"/>
      </w:tcPr>
    </w:tblStylePr>
    <w:tblStylePr w:type="lastRow">
      <w:rPr>
        <w:b/>
        <w:bCs/>
        <w:color w:val="AF553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F4" w:themeFill="accent6" w:themeFillTint="3F"/>
      </w:tcPr>
    </w:tblStylePr>
    <w:tblStylePr w:type="band1Horz">
      <w:tblPr/>
      <w:tcPr>
        <w:shd w:val="clear" w:color="auto" w:fill="FCF7F6" w:themeFill="accent6" w:themeFillTint="33"/>
      </w:tcPr>
    </w:tblStylePr>
  </w:style>
  <w:style w:type="table" w:styleId="ColorfulShading">
    <w:name w:val="Colorful Shading"/>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BE830E" w:themeColor="accent1"/>
        <w:bottom w:val="single" w:sz="4" w:space="0" w:color="BE830E" w:themeColor="accent1"/>
        <w:right w:val="single" w:sz="4" w:space="0" w:color="BE830E" w:themeColor="accent1"/>
        <w:insideH w:val="single" w:sz="4" w:space="0" w:color="FFFFFF" w:themeColor="background1"/>
        <w:insideV w:val="single" w:sz="4" w:space="0" w:color="FFFFFF" w:themeColor="background1"/>
      </w:tblBorders>
    </w:tblPr>
    <w:tcPr>
      <w:shd w:val="clear" w:color="auto" w:fill="FDF4E3"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4E08" w:themeFill="accent1" w:themeFillShade="99"/>
      </w:tcPr>
    </w:tblStylePr>
    <w:tblStylePr w:type="firstCol">
      <w:rPr>
        <w:color w:val="FFFFFF" w:themeColor="background1"/>
      </w:rPr>
      <w:tblPr/>
      <w:tcPr>
        <w:tcBorders>
          <w:top w:val="nil"/>
          <w:left w:val="nil"/>
          <w:bottom w:val="nil"/>
          <w:right w:val="nil"/>
          <w:insideH w:val="single" w:sz="4" w:space="0" w:color="714E08" w:themeColor="accent1" w:themeShade="99"/>
          <w:insideV w:val="nil"/>
        </w:tcBorders>
        <w:shd w:val="clear" w:color="auto" w:fill="714E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14E08" w:themeFill="accent1" w:themeFillShade="99"/>
      </w:tcPr>
    </w:tblStylePr>
    <w:tblStylePr w:type="band1Vert">
      <w:tblPr/>
      <w:tcPr>
        <w:shd w:val="clear" w:color="auto" w:fill="F6D28C" w:themeFill="accent1" w:themeFillTint="66"/>
      </w:tcPr>
    </w:tblStylePr>
    <w:tblStylePr w:type="band1Horz">
      <w:tblPr/>
      <w:tcPr>
        <w:shd w:val="clear" w:color="auto" w:fill="F4C87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DFC187" w:themeColor="accent2"/>
        <w:bottom w:val="single" w:sz="4" w:space="0" w:color="DFC187" w:themeColor="accent2"/>
        <w:right w:val="single" w:sz="4" w:space="0" w:color="DFC187" w:themeColor="accent2"/>
        <w:insideH w:val="single" w:sz="4" w:space="0" w:color="FFFFFF" w:themeColor="background1"/>
        <w:insideV w:val="single" w:sz="4" w:space="0" w:color="FFFFFF" w:themeColor="background1"/>
      </w:tblBorders>
    </w:tblPr>
    <w:tcPr>
      <w:shd w:val="clear" w:color="auto" w:fill="FCF8F3"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7F2D" w:themeFill="accent2" w:themeFillShade="99"/>
      </w:tcPr>
    </w:tblStylePr>
    <w:tblStylePr w:type="firstCol">
      <w:rPr>
        <w:color w:val="FFFFFF" w:themeColor="background1"/>
      </w:rPr>
      <w:tblPr/>
      <w:tcPr>
        <w:tcBorders>
          <w:top w:val="nil"/>
          <w:left w:val="nil"/>
          <w:bottom w:val="nil"/>
          <w:right w:val="nil"/>
          <w:insideH w:val="single" w:sz="4" w:space="0" w:color="A97F2D" w:themeColor="accent2" w:themeShade="99"/>
          <w:insideV w:val="nil"/>
        </w:tcBorders>
        <w:shd w:val="clear" w:color="auto" w:fill="A97F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97F2D" w:themeFill="accent2" w:themeFillShade="99"/>
      </w:tcPr>
    </w:tblStylePr>
    <w:tblStylePr w:type="band1Vert">
      <w:tblPr/>
      <w:tcPr>
        <w:shd w:val="clear" w:color="auto" w:fill="F2E6CE" w:themeFill="accent2" w:themeFillTint="66"/>
      </w:tcPr>
    </w:tblStylePr>
    <w:tblStylePr w:type="band1Horz">
      <w:tblPr/>
      <w:tcPr>
        <w:shd w:val="clear" w:color="auto" w:fill="EFDFC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F90398"/>
    <w:rPr>
      <w:rFonts w:eastAsia="MS Mincho"/>
      <w:color w:val="000000" w:themeColor="text1"/>
      <w:lang w:val="en-GB" w:eastAsia="en-GB"/>
    </w:rPr>
    <w:tblPr>
      <w:tblStyleRowBandSize w:val="1"/>
      <w:tblStyleColBandSize w:val="1"/>
      <w:tblBorders>
        <w:top w:val="single" w:sz="24" w:space="0" w:color="BE4E0E" w:themeColor="accent4"/>
        <w:left w:val="single" w:sz="4" w:space="0" w:color="F5EDDE" w:themeColor="accent3"/>
        <w:bottom w:val="single" w:sz="4" w:space="0" w:color="F5EDDE" w:themeColor="accent3"/>
        <w:right w:val="single" w:sz="4" w:space="0" w:color="F5EDDE" w:themeColor="accent3"/>
        <w:insideH w:val="single" w:sz="4" w:space="0" w:color="FFFFFF" w:themeColor="background1"/>
        <w:insideV w:val="single" w:sz="4" w:space="0" w:color="FFFFFF" w:themeColor="background1"/>
      </w:tblBorders>
    </w:tblPr>
    <w:tcPr>
      <w:shd w:val="clear" w:color="auto" w:fill="FEFDFB"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E4E0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99E4E" w:themeFill="accent3" w:themeFillShade="99"/>
      </w:tcPr>
    </w:tblStylePr>
    <w:tblStylePr w:type="firstCol">
      <w:rPr>
        <w:color w:val="FFFFFF" w:themeColor="background1"/>
      </w:rPr>
      <w:tblPr/>
      <w:tcPr>
        <w:tcBorders>
          <w:top w:val="nil"/>
          <w:left w:val="nil"/>
          <w:bottom w:val="nil"/>
          <w:right w:val="nil"/>
          <w:insideH w:val="single" w:sz="4" w:space="0" w:color="C99E4E" w:themeColor="accent3" w:themeShade="99"/>
          <w:insideV w:val="nil"/>
        </w:tcBorders>
        <w:shd w:val="clear" w:color="auto" w:fill="C99E4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99E4E" w:themeFill="accent3" w:themeFillShade="99"/>
      </w:tcPr>
    </w:tblStylePr>
    <w:tblStylePr w:type="band1Vert">
      <w:tblPr/>
      <w:tcPr>
        <w:shd w:val="clear" w:color="auto" w:fill="FBF7F1" w:themeFill="accent3" w:themeFillTint="66"/>
      </w:tcPr>
    </w:tblStylePr>
    <w:tblStylePr w:type="band1Horz">
      <w:tblPr/>
      <w:tcPr>
        <w:shd w:val="clear" w:color="auto" w:fill="FAF5EE" w:themeFill="accent3" w:themeFillTint="7F"/>
      </w:tcPr>
    </w:tblStylePr>
  </w:style>
  <w:style w:type="table" w:styleId="ColorfulShading-Accent4">
    <w:name w:val="Colorful Shading Accent 4"/>
    <w:basedOn w:val="TableNormal"/>
    <w:uiPriority w:val="71"/>
    <w:rsid w:val="00F90398"/>
    <w:rPr>
      <w:rFonts w:eastAsia="MS Mincho"/>
      <w:color w:val="000000" w:themeColor="text1"/>
      <w:lang w:val="en-GB" w:eastAsia="en-GB"/>
    </w:rPr>
    <w:tblPr>
      <w:tblStyleRowBandSize w:val="1"/>
      <w:tblStyleColBandSize w:val="1"/>
      <w:tblBorders>
        <w:top w:val="single" w:sz="24" w:space="0" w:color="F5EDDE" w:themeColor="accent3"/>
        <w:left w:val="single" w:sz="4" w:space="0" w:color="BE4E0E" w:themeColor="accent4"/>
        <w:bottom w:val="single" w:sz="4" w:space="0" w:color="BE4E0E" w:themeColor="accent4"/>
        <w:right w:val="single" w:sz="4" w:space="0" w:color="BE4E0E" w:themeColor="accent4"/>
        <w:insideH w:val="single" w:sz="4" w:space="0" w:color="FFFFFF" w:themeColor="background1"/>
        <w:insideV w:val="single" w:sz="4" w:space="0" w:color="FFFFFF" w:themeColor="background1"/>
      </w:tblBorders>
    </w:tblPr>
    <w:tcPr>
      <w:shd w:val="clear" w:color="auto" w:fill="FDECE3"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EDD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2E08" w:themeFill="accent4" w:themeFillShade="99"/>
      </w:tcPr>
    </w:tblStylePr>
    <w:tblStylePr w:type="firstCol">
      <w:rPr>
        <w:color w:val="FFFFFF" w:themeColor="background1"/>
      </w:rPr>
      <w:tblPr/>
      <w:tcPr>
        <w:tcBorders>
          <w:top w:val="nil"/>
          <w:left w:val="nil"/>
          <w:bottom w:val="nil"/>
          <w:right w:val="nil"/>
          <w:insideH w:val="single" w:sz="4" w:space="0" w:color="712E08" w:themeColor="accent4" w:themeShade="99"/>
          <w:insideV w:val="nil"/>
        </w:tcBorders>
        <w:shd w:val="clear" w:color="auto" w:fill="712E0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12E08" w:themeFill="accent4" w:themeFillShade="99"/>
      </w:tcPr>
    </w:tblStylePr>
    <w:tblStylePr w:type="band1Vert">
      <w:tblPr/>
      <w:tcPr>
        <w:shd w:val="clear" w:color="auto" w:fill="F6B28C" w:themeFill="accent4" w:themeFillTint="66"/>
      </w:tcPr>
    </w:tblStylePr>
    <w:tblStylePr w:type="band1Horz">
      <w:tblPr/>
      <w:tcPr>
        <w:shd w:val="clear" w:color="auto" w:fill="F4A07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F90398"/>
    <w:rPr>
      <w:rFonts w:eastAsia="MS Mincho"/>
      <w:color w:val="000000" w:themeColor="text1"/>
      <w:lang w:val="en-GB" w:eastAsia="en-GB"/>
    </w:rPr>
    <w:tblPr>
      <w:tblStyleRowBandSize w:val="1"/>
      <w:tblStyleColBandSize w:val="1"/>
      <w:tblBorders>
        <w:top w:val="single" w:sz="24" w:space="0" w:color="F2DCD4" w:themeColor="accent6"/>
        <w:left w:val="single" w:sz="4" w:space="0" w:color="CB7352" w:themeColor="accent5"/>
        <w:bottom w:val="single" w:sz="4" w:space="0" w:color="CB7352" w:themeColor="accent5"/>
        <w:right w:val="single" w:sz="4" w:space="0" w:color="CB7352" w:themeColor="accent5"/>
        <w:insideH w:val="single" w:sz="4" w:space="0" w:color="FFFFFF" w:themeColor="background1"/>
        <w:insideV w:val="single" w:sz="4" w:space="0" w:color="FFFFFF" w:themeColor="background1"/>
      </w:tblBorders>
    </w:tblPr>
    <w:tcPr>
      <w:shd w:val="clear" w:color="auto" w:fill="F9F1ED"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2DCD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4027" w:themeFill="accent5" w:themeFillShade="99"/>
      </w:tcPr>
    </w:tblStylePr>
    <w:tblStylePr w:type="firstCol">
      <w:rPr>
        <w:color w:val="FFFFFF" w:themeColor="background1"/>
      </w:rPr>
      <w:tblPr/>
      <w:tcPr>
        <w:tcBorders>
          <w:top w:val="nil"/>
          <w:left w:val="nil"/>
          <w:bottom w:val="nil"/>
          <w:right w:val="nil"/>
          <w:insideH w:val="single" w:sz="4" w:space="0" w:color="834027" w:themeColor="accent5" w:themeShade="99"/>
          <w:insideV w:val="nil"/>
        </w:tcBorders>
        <w:shd w:val="clear" w:color="auto" w:fill="83402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4027" w:themeFill="accent5" w:themeFillShade="99"/>
      </w:tcPr>
    </w:tblStylePr>
    <w:tblStylePr w:type="band1Vert">
      <w:tblPr/>
      <w:tcPr>
        <w:shd w:val="clear" w:color="auto" w:fill="EAC6B9" w:themeFill="accent5" w:themeFillTint="66"/>
      </w:tcPr>
    </w:tblStylePr>
    <w:tblStylePr w:type="band1Horz">
      <w:tblPr/>
      <w:tcPr>
        <w:shd w:val="clear" w:color="auto" w:fill="E5B8A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90398"/>
    <w:rPr>
      <w:rFonts w:eastAsia="MS Mincho"/>
      <w:color w:val="000000" w:themeColor="text1"/>
      <w:lang w:val="en-GB" w:eastAsia="en-GB"/>
    </w:rPr>
    <w:tblPr>
      <w:tblStyleRowBandSize w:val="1"/>
      <w:tblStyleColBandSize w:val="1"/>
      <w:tblBorders>
        <w:top w:val="single" w:sz="24" w:space="0" w:color="CB7352" w:themeColor="accent5"/>
        <w:left w:val="single" w:sz="4" w:space="0" w:color="F2DCD4" w:themeColor="accent6"/>
        <w:bottom w:val="single" w:sz="4" w:space="0" w:color="F2DCD4" w:themeColor="accent6"/>
        <w:right w:val="single" w:sz="4" w:space="0" w:color="F2DCD4" w:themeColor="accent6"/>
        <w:insideH w:val="single" w:sz="4" w:space="0" w:color="FFFFFF" w:themeColor="background1"/>
        <w:insideV w:val="single" w:sz="4" w:space="0" w:color="FFFFFF" w:themeColor="background1"/>
      </w:tblBorders>
    </w:tblPr>
    <w:tcPr>
      <w:shd w:val="clear" w:color="auto" w:fill="FDFBFA"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B735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76A48" w:themeFill="accent6" w:themeFillShade="99"/>
      </w:tcPr>
    </w:tblStylePr>
    <w:tblStylePr w:type="firstCol">
      <w:rPr>
        <w:color w:val="FFFFFF" w:themeColor="background1"/>
      </w:rPr>
      <w:tblPr/>
      <w:tcPr>
        <w:tcBorders>
          <w:top w:val="nil"/>
          <w:left w:val="nil"/>
          <w:bottom w:val="nil"/>
          <w:right w:val="nil"/>
          <w:insideH w:val="single" w:sz="4" w:space="0" w:color="C76A48" w:themeColor="accent6" w:themeShade="99"/>
          <w:insideV w:val="nil"/>
        </w:tcBorders>
        <w:shd w:val="clear" w:color="auto" w:fill="C76A4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76A48" w:themeFill="accent6" w:themeFillShade="99"/>
      </w:tcPr>
    </w:tblStylePr>
    <w:tblStylePr w:type="band1Vert">
      <w:tblPr/>
      <w:tcPr>
        <w:shd w:val="clear" w:color="auto" w:fill="F9F0ED" w:themeFill="accent6" w:themeFillTint="66"/>
      </w:tcPr>
    </w:tblStylePr>
    <w:tblStylePr w:type="band1Horz">
      <w:tblPr/>
      <w:tcPr>
        <w:shd w:val="clear" w:color="auto" w:fill="F8EDE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uiPriority w:val="99"/>
    <w:semiHidden/>
    <w:unhideWhenUsed/>
    <w:rsid w:val="00F90398"/>
    <w:rPr>
      <w:sz w:val="16"/>
      <w:szCs w:val="16"/>
    </w:rPr>
  </w:style>
  <w:style w:type="paragraph" w:styleId="CommentText">
    <w:name w:val="annotation text"/>
    <w:basedOn w:val="Normal"/>
    <w:link w:val="CommentTextChar"/>
    <w:uiPriority w:val="99"/>
    <w:unhideWhenUsed/>
    <w:rsid w:val="00F90398"/>
    <w:rPr>
      <w:lang w:val="x-none" w:bidi="he-IL"/>
    </w:rPr>
  </w:style>
  <w:style w:type="character" w:customStyle="1" w:styleId="CommentTextChar">
    <w:name w:val="Comment Text Char"/>
    <w:link w:val="CommentText"/>
    <w:uiPriority w:val="99"/>
    <w:rsid w:val="00F90398"/>
    <w:rPr>
      <w:color w:val="000000" w:themeColor="text1"/>
      <w:sz w:val="20"/>
      <w:szCs w:val="20"/>
      <w:lang w:val="x-none" w:bidi="he-IL"/>
    </w:rPr>
  </w:style>
  <w:style w:type="paragraph" w:styleId="CommentSubject">
    <w:name w:val="annotation subject"/>
    <w:basedOn w:val="CommentText"/>
    <w:next w:val="CommentText"/>
    <w:link w:val="CommentSubjectChar"/>
    <w:uiPriority w:val="99"/>
    <w:semiHidden/>
    <w:unhideWhenUsed/>
    <w:rsid w:val="00F90398"/>
    <w:rPr>
      <w:b/>
      <w:bCs/>
    </w:rPr>
  </w:style>
  <w:style w:type="character" w:customStyle="1" w:styleId="CommentSubjectChar">
    <w:name w:val="Comment Subject Char"/>
    <w:link w:val="CommentSubject"/>
    <w:uiPriority w:val="99"/>
    <w:semiHidden/>
    <w:rsid w:val="00F90398"/>
    <w:rPr>
      <w:b/>
      <w:bCs/>
      <w:color w:val="000000" w:themeColor="text1"/>
      <w:sz w:val="20"/>
      <w:szCs w:val="20"/>
      <w:lang w:val="x-none" w:bidi="he-IL"/>
    </w:rPr>
  </w:style>
  <w:style w:type="table" w:styleId="DarkList">
    <w:name w:val="Dark List"/>
    <w:basedOn w:val="TableNormal"/>
    <w:uiPriority w:val="70"/>
    <w:rsid w:val="00F90398"/>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90398"/>
    <w:rPr>
      <w:rFonts w:eastAsia="MS Mincho"/>
      <w:color w:val="FFFFFF" w:themeColor="background1"/>
      <w:lang w:val="en-GB" w:eastAsia="en-GB"/>
    </w:rPr>
    <w:tblPr>
      <w:tblStyleRowBandSize w:val="1"/>
      <w:tblStyleColBandSize w:val="1"/>
    </w:tblPr>
    <w:tcPr>
      <w:shd w:val="clear" w:color="auto" w:fill="BE830E"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0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E610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E610A" w:themeFill="accent1" w:themeFillShade="BF"/>
      </w:tcPr>
    </w:tblStylePr>
    <w:tblStylePr w:type="band1Vert">
      <w:tblPr/>
      <w:tcPr>
        <w:tcBorders>
          <w:top w:val="nil"/>
          <w:left w:val="nil"/>
          <w:bottom w:val="nil"/>
          <w:right w:val="nil"/>
          <w:insideH w:val="nil"/>
          <w:insideV w:val="nil"/>
        </w:tcBorders>
        <w:shd w:val="clear" w:color="auto" w:fill="8E610A" w:themeFill="accent1" w:themeFillShade="BF"/>
      </w:tcPr>
    </w:tblStylePr>
    <w:tblStylePr w:type="band1Horz">
      <w:tblPr/>
      <w:tcPr>
        <w:tcBorders>
          <w:top w:val="nil"/>
          <w:left w:val="nil"/>
          <w:bottom w:val="nil"/>
          <w:right w:val="nil"/>
          <w:insideH w:val="nil"/>
          <w:insideV w:val="nil"/>
        </w:tcBorders>
        <w:shd w:val="clear" w:color="auto" w:fill="8E610A" w:themeFill="accent1" w:themeFillShade="BF"/>
      </w:tcPr>
    </w:tblStylePr>
  </w:style>
  <w:style w:type="table" w:styleId="DarkList-Accent2">
    <w:name w:val="Dark List Accent 2"/>
    <w:basedOn w:val="TableNormal"/>
    <w:uiPriority w:val="70"/>
    <w:rsid w:val="00F90398"/>
    <w:rPr>
      <w:rFonts w:eastAsia="MS Mincho"/>
      <w:color w:val="FFFFFF" w:themeColor="background1"/>
      <w:lang w:val="en-GB" w:eastAsia="en-GB"/>
    </w:rPr>
    <w:tblPr>
      <w:tblStyleRowBandSize w:val="1"/>
      <w:tblStyleColBandSize w:val="1"/>
    </w:tblPr>
    <w:tcPr>
      <w:shd w:val="clear" w:color="auto" w:fill="DFC187"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69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C9C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C9C40" w:themeFill="accent2" w:themeFillShade="BF"/>
      </w:tcPr>
    </w:tblStylePr>
    <w:tblStylePr w:type="band1Vert">
      <w:tblPr/>
      <w:tcPr>
        <w:tcBorders>
          <w:top w:val="nil"/>
          <w:left w:val="nil"/>
          <w:bottom w:val="nil"/>
          <w:right w:val="nil"/>
          <w:insideH w:val="nil"/>
          <w:insideV w:val="nil"/>
        </w:tcBorders>
        <w:shd w:val="clear" w:color="auto" w:fill="CC9C40" w:themeFill="accent2" w:themeFillShade="BF"/>
      </w:tcPr>
    </w:tblStylePr>
    <w:tblStylePr w:type="band1Horz">
      <w:tblPr/>
      <w:tcPr>
        <w:tcBorders>
          <w:top w:val="nil"/>
          <w:left w:val="nil"/>
          <w:bottom w:val="nil"/>
          <w:right w:val="nil"/>
          <w:insideH w:val="nil"/>
          <w:insideV w:val="nil"/>
        </w:tcBorders>
        <w:shd w:val="clear" w:color="auto" w:fill="CC9C40" w:themeFill="accent2" w:themeFillShade="BF"/>
      </w:tcPr>
    </w:tblStylePr>
  </w:style>
  <w:style w:type="table" w:styleId="DarkList-Accent3">
    <w:name w:val="Dark List Accent 3"/>
    <w:basedOn w:val="TableNormal"/>
    <w:uiPriority w:val="70"/>
    <w:rsid w:val="00F90398"/>
    <w:rPr>
      <w:rFonts w:eastAsia="MS Mincho"/>
      <w:color w:val="FFFFFF" w:themeColor="background1"/>
      <w:lang w:val="en-GB" w:eastAsia="en-GB"/>
    </w:rPr>
    <w:tblPr>
      <w:tblStyleRowBandSize w:val="1"/>
      <w:tblStyleColBandSize w:val="1"/>
    </w:tblPr>
    <w:tcPr>
      <w:shd w:val="clear" w:color="auto" w:fill="F5EDDE"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2863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9BB8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9BB83" w:themeFill="accent3" w:themeFillShade="BF"/>
      </w:tcPr>
    </w:tblStylePr>
    <w:tblStylePr w:type="band1Vert">
      <w:tblPr/>
      <w:tcPr>
        <w:tcBorders>
          <w:top w:val="nil"/>
          <w:left w:val="nil"/>
          <w:bottom w:val="nil"/>
          <w:right w:val="nil"/>
          <w:insideH w:val="nil"/>
          <w:insideV w:val="nil"/>
        </w:tcBorders>
        <w:shd w:val="clear" w:color="auto" w:fill="D9BB83" w:themeFill="accent3" w:themeFillShade="BF"/>
      </w:tcPr>
    </w:tblStylePr>
    <w:tblStylePr w:type="band1Horz">
      <w:tblPr/>
      <w:tcPr>
        <w:tcBorders>
          <w:top w:val="nil"/>
          <w:left w:val="nil"/>
          <w:bottom w:val="nil"/>
          <w:right w:val="nil"/>
          <w:insideH w:val="nil"/>
          <w:insideV w:val="nil"/>
        </w:tcBorders>
        <w:shd w:val="clear" w:color="auto" w:fill="D9BB83" w:themeFill="accent3" w:themeFillShade="BF"/>
      </w:tcPr>
    </w:tblStylePr>
  </w:style>
  <w:style w:type="table" w:styleId="DarkList-Accent4">
    <w:name w:val="Dark List Accent 4"/>
    <w:basedOn w:val="TableNormal"/>
    <w:uiPriority w:val="70"/>
    <w:rsid w:val="00F90398"/>
    <w:rPr>
      <w:rFonts w:eastAsia="MS Mincho"/>
      <w:color w:val="FFFFFF" w:themeColor="background1"/>
      <w:lang w:val="en-GB" w:eastAsia="en-GB"/>
    </w:rPr>
    <w:tblPr>
      <w:tblStyleRowBandSize w:val="1"/>
      <w:tblStyleColBandSize w:val="1"/>
    </w:tblPr>
    <w:tcPr>
      <w:shd w:val="clear" w:color="auto" w:fill="BE4E0E"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26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3A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3A0A" w:themeFill="accent4" w:themeFillShade="BF"/>
      </w:tcPr>
    </w:tblStylePr>
    <w:tblStylePr w:type="band1Vert">
      <w:tblPr/>
      <w:tcPr>
        <w:tcBorders>
          <w:top w:val="nil"/>
          <w:left w:val="nil"/>
          <w:bottom w:val="nil"/>
          <w:right w:val="nil"/>
          <w:insideH w:val="nil"/>
          <w:insideV w:val="nil"/>
        </w:tcBorders>
        <w:shd w:val="clear" w:color="auto" w:fill="8E3A0A" w:themeFill="accent4" w:themeFillShade="BF"/>
      </w:tcPr>
    </w:tblStylePr>
    <w:tblStylePr w:type="band1Horz">
      <w:tblPr/>
      <w:tcPr>
        <w:tcBorders>
          <w:top w:val="nil"/>
          <w:left w:val="nil"/>
          <w:bottom w:val="nil"/>
          <w:right w:val="nil"/>
          <w:insideH w:val="nil"/>
          <w:insideV w:val="nil"/>
        </w:tcBorders>
        <w:shd w:val="clear" w:color="auto" w:fill="8E3A0A" w:themeFill="accent4" w:themeFillShade="BF"/>
      </w:tcPr>
    </w:tblStylePr>
  </w:style>
  <w:style w:type="table" w:styleId="DarkList-Accent5">
    <w:name w:val="Dark List Accent 5"/>
    <w:basedOn w:val="TableNormal"/>
    <w:uiPriority w:val="70"/>
    <w:rsid w:val="00F90398"/>
    <w:rPr>
      <w:rFonts w:eastAsia="MS Mincho"/>
      <w:color w:val="FFFFFF" w:themeColor="background1"/>
      <w:lang w:val="en-GB" w:eastAsia="en-GB"/>
    </w:rPr>
    <w:tblPr>
      <w:tblStyleRowBandSize w:val="1"/>
      <w:tblStyleColBandSize w:val="1"/>
    </w:tblPr>
    <w:tcPr>
      <w:shd w:val="clear" w:color="auto" w:fill="CB7352"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C352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3503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35031" w:themeFill="accent5" w:themeFillShade="BF"/>
      </w:tcPr>
    </w:tblStylePr>
    <w:tblStylePr w:type="band1Vert">
      <w:tblPr/>
      <w:tcPr>
        <w:tcBorders>
          <w:top w:val="nil"/>
          <w:left w:val="nil"/>
          <w:bottom w:val="nil"/>
          <w:right w:val="nil"/>
          <w:insideH w:val="nil"/>
          <w:insideV w:val="nil"/>
        </w:tcBorders>
        <w:shd w:val="clear" w:color="auto" w:fill="A35031" w:themeFill="accent5" w:themeFillShade="BF"/>
      </w:tcPr>
    </w:tblStylePr>
    <w:tblStylePr w:type="band1Horz">
      <w:tblPr/>
      <w:tcPr>
        <w:tcBorders>
          <w:top w:val="nil"/>
          <w:left w:val="nil"/>
          <w:bottom w:val="nil"/>
          <w:right w:val="nil"/>
          <w:insideH w:val="nil"/>
          <w:insideV w:val="nil"/>
        </w:tcBorders>
        <w:shd w:val="clear" w:color="auto" w:fill="A35031" w:themeFill="accent5" w:themeFillShade="BF"/>
      </w:tcPr>
    </w:tblStylePr>
  </w:style>
  <w:style w:type="table" w:styleId="DarkList-Accent6">
    <w:name w:val="Dark List Accent 6"/>
    <w:basedOn w:val="TableNormal"/>
    <w:uiPriority w:val="70"/>
    <w:rsid w:val="00F90398"/>
    <w:rPr>
      <w:rFonts w:eastAsia="MS Mincho"/>
      <w:color w:val="FFFFFF" w:themeColor="background1"/>
      <w:lang w:val="en-GB" w:eastAsia="en-GB"/>
    </w:rPr>
    <w:tblPr>
      <w:tblStyleRowBandSize w:val="1"/>
      <w:tblStyleColBandSize w:val="1"/>
    </w:tblPr>
    <w:tcPr>
      <w:shd w:val="clear" w:color="auto" w:fill="F2DCD4"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D543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794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7947C" w:themeFill="accent6" w:themeFillShade="BF"/>
      </w:tcPr>
    </w:tblStylePr>
    <w:tblStylePr w:type="band1Vert">
      <w:tblPr/>
      <w:tcPr>
        <w:tcBorders>
          <w:top w:val="nil"/>
          <w:left w:val="nil"/>
          <w:bottom w:val="nil"/>
          <w:right w:val="nil"/>
          <w:insideH w:val="nil"/>
          <w:insideV w:val="nil"/>
        </w:tcBorders>
        <w:shd w:val="clear" w:color="auto" w:fill="D7947C" w:themeFill="accent6" w:themeFillShade="BF"/>
      </w:tcPr>
    </w:tblStylePr>
    <w:tblStylePr w:type="band1Horz">
      <w:tblPr/>
      <w:tcPr>
        <w:tcBorders>
          <w:top w:val="nil"/>
          <w:left w:val="nil"/>
          <w:bottom w:val="nil"/>
          <w:right w:val="nil"/>
          <w:insideH w:val="nil"/>
          <w:insideV w:val="nil"/>
        </w:tcBorders>
        <w:shd w:val="clear" w:color="auto" w:fill="D7947C" w:themeFill="accent6" w:themeFillShade="BF"/>
      </w:tcPr>
    </w:tblStylePr>
  </w:style>
  <w:style w:type="paragraph" w:styleId="DocumentMap">
    <w:name w:val="Document Map"/>
    <w:basedOn w:val="Normal"/>
    <w:link w:val="DocumentMapChar"/>
    <w:uiPriority w:val="99"/>
    <w:semiHidden/>
    <w:unhideWhenUsed/>
    <w:rsid w:val="00F90398"/>
    <w:rPr>
      <w:rFonts w:ascii="Tahoma" w:hAnsi="Tahoma" w:cs="Segoe UI"/>
      <w:sz w:val="16"/>
      <w:szCs w:val="16"/>
      <w:lang w:eastAsia="x-none" w:bidi="he-IL"/>
    </w:rPr>
  </w:style>
  <w:style w:type="character" w:customStyle="1" w:styleId="DocumentMapChar">
    <w:name w:val="Document Map Char"/>
    <w:link w:val="DocumentMap"/>
    <w:uiPriority w:val="99"/>
    <w:semiHidden/>
    <w:rsid w:val="00F90398"/>
    <w:rPr>
      <w:rFonts w:ascii="Tahoma" w:hAnsi="Tahoma" w:cs="Segoe UI"/>
      <w:color w:val="000000" w:themeColor="text1"/>
      <w:sz w:val="16"/>
      <w:szCs w:val="16"/>
      <w:lang w:eastAsia="x-none" w:bidi="he-IL"/>
    </w:rPr>
  </w:style>
  <w:style w:type="paragraph" w:styleId="E-mailSignature">
    <w:name w:val="E-mail Signature"/>
    <w:basedOn w:val="Normal"/>
    <w:link w:val="E-mailSignatureChar"/>
    <w:uiPriority w:val="99"/>
    <w:semiHidden/>
    <w:unhideWhenUsed/>
    <w:rsid w:val="00F90398"/>
  </w:style>
  <w:style w:type="character" w:customStyle="1" w:styleId="E-mailSignatureChar">
    <w:name w:val="E-mail Signature Char"/>
    <w:basedOn w:val="DefaultParagraphFont"/>
    <w:link w:val="E-mailSignature"/>
    <w:uiPriority w:val="99"/>
    <w:semiHidden/>
    <w:rsid w:val="00F90398"/>
    <w:rPr>
      <w:color w:val="000000" w:themeColor="text1"/>
      <w:sz w:val="20"/>
      <w:szCs w:val="20"/>
    </w:rPr>
  </w:style>
  <w:style w:type="character" w:styleId="Emphasis">
    <w:name w:val="Emphasis"/>
    <w:basedOn w:val="DefaultParagraphFont"/>
    <w:uiPriority w:val="20"/>
    <w:qFormat/>
    <w:rsid w:val="00C53999"/>
    <w:rPr>
      <w:i/>
      <w:iCs/>
    </w:rPr>
  </w:style>
  <w:style w:type="character" w:styleId="EndnoteReference">
    <w:name w:val="endnote reference"/>
    <w:basedOn w:val="DefaultParagraphFont"/>
    <w:uiPriority w:val="99"/>
    <w:semiHidden/>
    <w:unhideWhenUsed/>
    <w:rsid w:val="00F90398"/>
    <w:rPr>
      <w:vertAlign w:val="superscript"/>
    </w:rPr>
  </w:style>
  <w:style w:type="paragraph" w:styleId="EnvelopeAddress">
    <w:name w:val="envelope address"/>
    <w:basedOn w:val="Normal"/>
    <w:uiPriority w:val="99"/>
    <w:semiHidden/>
    <w:unhideWhenUsed/>
    <w:rsid w:val="00F90398"/>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F90398"/>
    <w:rPr>
      <w:rFonts w:asciiTheme="majorHAnsi" w:eastAsiaTheme="majorEastAsia" w:hAnsiTheme="majorHAnsi" w:cstheme="majorBidi"/>
    </w:rPr>
  </w:style>
  <w:style w:type="paragraph" w:styleId="Footer">
    <w:name w:val="footer"/>
    <w:link w:val="FooterChar"/>
    <w:uiPriority w:val="99"/>
    <w:rsid w:val="00F52AC6"/>
    <w:pPr>
      <w:adjustRightInd w:val="0"/>
      <w:snapToGrid w:val="0"/>
    </w:pPr>
    <w:rPr>
      <w:rFonts w:cs="Arial"/>
      <w:sz w:val="20"/>
      <w:szCs w:val="14"/>
      <w:lang w:eastAsia="x-none" w:bidi="he-IL"/>
    </w:rPr>
  </w:style>
  <w:style w:type="character" w:customStyle="1" w:styleId="FooterChar">
    <w:name w:val="Footer Char"/>
    <w:link w:val="Footer"/>
    <w:uiPriority w:val="99"/>
    <w:rsid w:val="00F52AC6"/>
    <w:rPr>
      <w:rFonts w:eastAsiaTheme="minorEastAsia" w:cs="Arial"/>
      <w:color w:val="auto"/>
      <w:sz w:val="20"/>
      <w:szCs w:val="14"/>
      <w:lang w:eastAsia="x-none" w:bidi="he-IL"/>
    </w:rPr>
  </w:style>
  <w:style w:type="paragraph" w:styleId="Header">
    <w:name w:val="header"/>
    <w:link w:val="HeaderChar"/>
    <w:uiPriority w:val="99"/>
    <w:rsid w:val="000054FD"/>
    <w:pPr>
      <w:adjustRightInd w:val="0"/>
      <w:snapToGrid w:val="0"/>
    </w:pPr>
    <w:rPr>
      <w:rFonts w:cs="Arial"/>
      <w:szCs w:val="16"/>
      <w:lang w:eastAsia="x-none" w:bidi="he-IL"/>
    </w:rPr>
  </w:style>
  <w:style w:type="character" w:customStyle="1" w:styleId="HeaderChar">
    <w:name w:val="Header Char"/>
    <w:link w:val="Header"/>
    <w:uiPriority w:val="99"/>
    <w:rsid w:val="000054FD"/>
    <w:rPr>
      <w:rFonts w:eastAsiaTheme="minorEastAsia" w:cs="Arial"/>
      <w:color w:val="auto"/>
      <w:szCs w:val="16"/>
      <w:lang w:eastAsia="x-none" w:bidi="he-IL"/>
    </w:rPr>
  </w:style>
  <w:style w:type="character" w:styleId="HTMLAcronym">
    <w:name w:val="HTML Acronym"/>
    <w:basedOn w:val="DefaultParagraphFont"/>
    <w:uiPriority w:val="99"/>
    <w:semiHidden/>
    <w:unhideWhenUsed/>
    <w:rsid w:val="00F90398"/>
  </w:style>
  <w:style w:type="paragraph" w:styleId="HTMLAddress">
    <w:name w:val="HTML Address"/>
    <w:basedOn w:val="Normal"/>
    <w:link w:val="HTMLAddressChar"/>
    <w:uiPriority w:val="99"/>
    <w:semiHidden/>
    <w:unhideWhenUsed/>
    <w:rsid w:val="00F90398"/>
    <w:rPr>
      <w:i/>
      <w:iCs/>
    </w:rPr>
  </w:style>
  <w:style w:type="character" w:customStyle="1" w:styleId="HTMLAddressChar">
    <w:name w:val="HTML Address Char"/>
    <w:basedOn w:val="DefaultParagraphFont"/>
    <w:link w:val="HTMLAddress"/>
    <w:uiPriority w:val="99"/>
    <w:semiHidden/>
    <w:rsid w:val="00F90398"/>
    <w:rPr>
      <w:i/>
      <w:iCs/>
      <w:color w:val="000000" w:themeColor="text1"/>
      <w:sz w:val="20"/>
      <w:szCs w:val="20"/>
    </w:rPr>
  </w:style>
  <w:style w:type="character" w:styleId="HTMLCite">
    <w:name w:val="HTML Cite"/>
    <w:basedOn w:val="DefaultParagraphFont"/>
    <w:uiPriority w:val="99"/>
    <w:semiHidden/>
    <w:unhideWhenUsed/>
    <w:rsid w:val="00F90398"/>
    <w:rPr>
      <w:i/>
      <w:iCs/>
    </w:rPr>
  </w:style>
  <w:style w:type="character" w:styleId="HTMLCode">
    <w:name w:val="HTML Code"/>
    <w:basedOn w:val="DefaultParagraphFont"/>
    <w:uiPriority w:val="99"/>
    <w:semiHidden/>
    <w:unhideWhenUsed/>
    <w:rsid w:val="00F90398"/>
    <w:rPr>
      <w:rFonts w:ascii="Consolas" w:hAnsi="Consolas" w:cs="Consolas"/>
      <w:sz w:val="20"/>
      <w:szCs w:val="20"/>
    </w:rPr>
  </w:style>
  <w:style w:type="character" w:styleId="HTMLDefinition">
    <w:name w:val="HTML Definition"/>
    <w:basedOn w:val="DefaultParagraphFont"/>
    <w:uiPriority w:val="99"/>
    <w:semiHidden/>
    <w:unhideWhenUsed/>
    <w:rsid w:val="00F90398"/>
    <w:rPr>
      <w:i/>
      <w:iCs/>
    </w:rPr>
  </w:style>
  <w:style w:type="character" w:styleId="HTMLKeyboard">
    <w:name w:val="HTML Keyboard"/>
    <w:basedOn w:val="DefaultParagraphFont"/>
    <w:uiPriority w:val="99"/>
    <w:semiHidden/>
    <w:unhideWhenUsed/>
    <w:rsid w:val="00F90398"/>
    <w:rPr>
      <w:rFonts w:ascii="Consolas" w:hAnsi="Consolas" w:cs="Consolas"/>
      <w:sz w:val="20"/>
      <w:szCs w:val="20"/>
    </w:rPr>
  </w:style>
  <w:style w:type="paragraph" w:styleId="HTMLPreformatted">
    <w:name w:val="HTML Preformatted"/>
    <w:basedOn w:val="Normal"/>
    <w:link w:val="HTMLPreformattedChar"/>
    <w:uiPriority w:val="99"/>
    <w:semiHidden/>
    <w:unhideWhenUsed/>
    <w:rsid w:val="00F90398"/>
    <w:rPr>
      <w:rFonts w:ascii="Consolas" w:hAnsi="Consolas" w:cs="Consolas"/>
    </w:rPr>
  </w:style>
  <w:style w:type="character" w:customStyle="1" w:styleId="HTMLPreformattedChar">
    <w:name w:val="HTML Preformatted Char"/>
    <w:basedOn w:val="DefaultParagraphFont"/>
    <w:link w:val="HTMLPreformatted"/>
    <w:uiPriority w:val="99"/>
    <w:semiHidden/>
    <w:rsid w:val="00F90398"/>
    <w:rPr>
      <w:rFonts w:ascii="Consolas" w:hAnsi="Consolas" w:cs="Consolas"/>
      <w:color w:val="000000" w:themeColor="text1"/>
      <w:sz w:val="20"/>
      <w:szCs w:val="20"/>
    </w:rPr>
  </w:style>
  <w:style w:type="character" w:styleId="HTMLSample">
    <w:name w:val="HTML Sample"/>
    <w:basedOn w:val="DefaultParagraphFont"/>
    <w:uiPriority w:val="99"/>
    <w:semiHidden/>
    <w:unhideWhenUsed/>
    <w:rsid w:val="00F90398"/>
    <w:rPr>
      <w:rFonts w:ascii="Consolas" w:hAnsi="Consolas" w:cs="Consolas"/>
      <w:sz w:val="24"/>
      <w:szCs w:val="24"/>
    </w:rPr>
  </w:style>
  <w:style w:type="character" w:styleId="HTMLTypewriter">
    <w:name w:val="HTML Typewriter"/>
    <w:basedOn w:val="DefaultParagraphFont"/>
    <w:uiPriority w:val="99"/>
    <w:semiHidden/>
    <w:unhideWhenUsed/>
    <w:rsid w:val="00F90398"/>
    <w:rPr>
      <w:rFonts w:ascii="Consolas" w:hAnsi="Consolas" w:cs="Consolas"/>
      <w:sz w:val="20"/>
      <w:szCs w:val="20"/>
    </w:rPr>
  </w:style>
  <w:style w:type="character" w:styleId="HTMLVariable">
    <w:name w:val="HTML Variable"/>
    <w:basedOn w:val="DefaultParagraphFont"/>
    <w:uiPriority w:val="99"/>
    <w:semiHidden/>
    <w:unhideWhenUsed/>
    <w:rsid w:val="00F90398"/>
    <w:rPr>
      <w:i/>
      <w:iCs/>
    </w:rPr>
  </w:style>
  <w:style w:type="character" w:styleId="Hyperlink">
    <w:name w:val="Hyperlink"/>
    <w:uiPriority w:val="99"/>
    <w:rsid w:val="003913E6"/>
    <w:rPr>
      <w:color w:val="000000" w:themeColor="text1"/>
      <w:u w:val="single"/>
    </w:rPr>
  </w:style>
  <w:style w:type="paragraph" w:styleId="Index1">
    <w:name w:val="index 1"/>
    <w:basedOn w:val="Normal"/>
    <w:next w:val="Normal"/>
    <w:autoRedefine/>
    <w:uiPriority w:val="99"/>
    <w:semiHidden/>
    <w:unhideWhenUsed/>
    <w:rsid w:val="00F90398"/>
    <w:pPr>
      <w:ind w:left="220" w:hanging="220"/>
    </w:pPr>
  </w:style>
  <w:style w:type="paragraph" w:styleId="Index2">
    <w:name w:val="index 2"/>
    <w:basedOn w:val="Normal"/>
    <w:next w:val="Normal"/>
    <w:autoRedefine/>
    <w:uiPriority w:val="99"/>
    <w:semiHidden/>
    <w:unhideWhenUsed/>
    <w:rsid w:val="00F90398"/>
    <w:pPr>
      <w:ind w:left="440" w:hanging="220"/>
    </w:pPr>
  </w:style>
  <w:style w:type="paragraph" w:styleId="Index3">
    <w:name w:val="index 3"/>
    <w:basedOn w:val="Normal"/>
    <w:next w:val="Normal"/>
    <w:autoRedefine/>
    <w:uiPriority w:val="99"/>
    <w:semiHidden/>
    <w:unhideWhenUsed/>
    <w:rsid w:val="00F90398"/>
    <w:pPr>
      <w:ind w:left="660" w:hanging="220"/>
    </w:pPr>
  </w:style>
  <w:style w:type="paragraph" w:styleId="Index4">
    <w:name w:val="index 4"/>
    <w:basedOn w:val="Normal"/>
    <w:next w:val="Normal"/>
    <w:autoRedefine/>
    <w:uiPriority w:val="99"/>
    <w:semiHidden/>
    <w:unhideWhenUsed/>
    <w:rsid w:val="00F90398"/>
    <w:pPr>
      <w:ind w:left="880" w:hanging="220"/>
    </w:pPr>
  </w:style>
  <w:style w:type="paragraph" w:styleId="Index5">
    <w:name w:val="index 5"/>
    <w:basedOn w:val="Normal"/>
    <w:next w:val="Normal"/>
    <w:autoRedefine/>
    <w:uiPriority w:val="99"/>
    <w:semiHidden/>
    <w:unhideWhenUsed/>
    <w:rsid w:val="00F90398"/>
    <w:pPr>
      <w:ind w:left="1100" w:hanging="220"/>
    </w:pPr>
  </w:style>
  <w:style w:type="paragraph" w:styleId="Index6">
    <w:name w:val="index 6"/>
    <w:basedOn w:val="Normal"/>
    <w:next w:val="Normal"/>
    <w:autoRedefine/>
    <w:uiPriority w:val="99"/>
    <w:semiHidden/>
    <w:unhideWhenUsed/>
    <w:rsid w:val="00F90398"/>
    <w:pPr>
      <w:ind w:left="1320" w:hanging="220"/>
    </w:pPr>
  </w:style>
  <w:style w:type="paragraph" w:styleId="Index7">
    <w:name w:val="index 7"/>
    <w:basedOn w:val="Normal"/>
    <w:next w:val="Normal"/>
    <w:autoRedefine/>
    <w:uiPriority w:val="99"/>
    <w:semiHidden/>
    <w:unhideWhenUsed/>
    <w:rsid w:val="00F90398"/>
    <w:pPr>
      <w:ind w:left="1540" w:hanging="220"/>
    </w:pPr>
  </w:style>
  <w:style w:type="paragraph" w:styleId="Index8">
    <w:name w:val="index 8"/>
    <w:basedOn w:val="Normal"/>
    <w:next w:val="Normal"/>
    <w:autoRedefine/>
    <w:uiPriority w:val="99"/>
    <w:semiHidden/>
    <w:unhideWhenUsed/>
    <w:rsid w:val="00F90398"/>
    <w:pPr>
      <w:ind w:left="1760" w:hanging="220"/>
    </w:pPr>
  </w:style>
  <w:style w:type="paragraph" w:styleId="Index9">
    <w:name w:val="index 9"/>
    <w:basedOn w:val="Normal"/>
    <w:next w:val="Normal"/>
    <w:autoRedefine/>
    <w:uiPriority w:val="99"/>
    <w:semiHidden/>
    <w:unhideWhenUsed/>
    <w:rsid w:val="00F90398"/>
    <w:pPr>
      <w:ind w:left="1980" w:hanging="220"/>
    </w:pPr>
  </w:style>
  <w:style w:type="paragraph" w:styleId="IndexHeading">
    <w:name w:val="index heading"/>
    <w:basedOn w:val="Normal"/>
    <w:next w:val="Index1"/>
    <w:uiPriority w:val="99"/>
    <w:semiHidden/>
    <w:unhideWhenUsed/>
    <w:rsid w:val="00F90398"/>
    <w:rPr>
      <w:rFonts w:asciiTheme="majorHAnsi" w:eastAsiaTheme="majorEastAsia" w:hAnsiTheme="majorHAnsi" w:cstheme="majorBidi"/>
      <w:b/>
      <w:bCs/>
    </w:rPr>
  </w:style>
  <w:style w:type="character" w:styleId="IntenseEmphasis">
    <w:name w:val="Intense Emphasis"/>
    <w:basedOn w:val="DefaultParagraphFont"/>
    <w:uiPriority w:val="21"/>
    <w:qFormat/>
    <w:rsid w:val="00C53999"/>
    <w:rPr>
      <w:b/>
      <w:bCs/>
      <w:i/>
      <w:iCs/>
    </w:rPr>
  </w:style>
  <w:style w:type="paragraph" w:styleId="IntenseQuote">
    <w:name w:val="Intense Quote"/>
    <w:basedOn w:val="Normal"/>
    <w:next w:val="Normal"/>
    <w:link w:val="IntenseQuoteChar"/>
    <w:uiPriority w:val="30"/>
    <w:qFormat/>
    <w:rsid w:val="00C53999"/>
    <w:pPr>
      <w:spacing w:before="100" w:beforeAutospacing="1" w:after="240"/>
      <w:ind w:left="864" w:right="864"/>
      <w:jc w:val="center"/>
    </w:pPr>
    <w:rPr>
      <w:rFonts w:asciiTheme="majorHAnsi" w:eastAsiaTheme="majorEastAsia" w:hAnsiTheme="majorHAnsi" w:cstheme="majorBidi"/>
      <w:color w:val="BE830E" w:themeColor="accent1"/>
      <w:sz w:val="28"/>
      <w:szCs w:val="28"/>
    </w:rPr>
  </w:style>
  <w:style w:type="character" w:customStyle="1" w:styleId="IntenseQuoteChar">
    <w:name w:val="Intense Quote Char"/>
    <w:basedOn w:val="DefaultParagraphFont"/>
    <w:link w:val="IntenseQuote"/>
    <w:uiPriority w:val="30"/>
    <w:rsid w:val="00C53999"/>
    <w:rPr>
      <w:rFonts w:asciiTheme="majorHAnsi" w:eastAsiaTheme="majorEastAsia" w:hAnsiTheme="majorHAnsi" w:cstheme="majorBidi"/>
      <w:color w:val="BE830E" w:themeColor="accent1"/>
      <w:sz w:val="28"/>
      <w:szCs w:val="28"/>
    </w:rPr>
  </w:style>
  <w:style w:type="character" w:styleId="IntenseReference">
    <w:name w:val="Intense Reference"/>
    <w:basedOn w:val="DefaultParagraphFont"/>
    <w:uiPriority w:val="32"/>
    <w:qFormat/>
    <w:rsid w:val="00C53999"/>
    <w:rPr>
      <w:b/>
      <w:bCs/>
      <w:smallCaps/>
      <w:u w:val="single"/>
    </w:rPr>
  </w:style>
  <w:style w:type="table" w:styleId="LightGrid">
    <w:name w:val="Light Grid"/>
    <w:basedOn w:val="TableNormal"/>
    <w:uiPriority w:val="62"/>
    <w:rsid w:val="00F90398"/>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90398"/>
    <w:rPr>
      <w:rFonts w:eastAsia="MS Mincho"/>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insideH w:val="single" w:sz="8" w:space="0" w:color="BE830E" w:themeColor="accent1"/>
        <w:insideV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E830E" w:themeColor="accent1"/>
          <w:left w:val="single" w:sz="8" w:space="0" w:color="BE830E" w:themeColor="accent1"/>
          <w:bottom w:val="single" w:sz="18" w:space="0" w:color="BE830E" w:themeColor="accent1"/>
          <w:right w:val="single" w:sz="8" w:space="0" w:color="BE830E" w:themeColor="accent1"/>
          <w:insideH w:val="nil"/>
          <w:insideV w:val="single" w:sz="8" w:space="0" w:color="BE830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830E" w:themeColor="accent1"/>
          <w:left w:val="single" w:sz="8" w:space="0" w:color="BE830E" w:themeColor="accent1"/>
          <w:bottom w:val="single" w:sz="8" w:space="0" w:color="BE830E" w:themeColor="accent1"/>
          <w:right w:val="single" w:sz="8" w:space="0" w:color="BE830E" w:themeColor="accent1"/>
          <w:insideH w:val="nil"/>
          <w:insideV w:val="single" w:sz="8" w:space="0" w:color="BE830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tblStylePr w:type="band1Vert">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shd w:val="clear" w:color="auto" w:fill="F9E3B8" w:themeFill="accent1" w:themeFillTint="3F"/>
      </w:tcPr>
    </w:tblStylePr>
    <w:tblStylePr w:type="band1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insideV w:val="single" w:sz="8" w:space="0" w:color="BE830E" w:themeColor="accent1"/>
        </w:tcBorders>
        <w:shd w:val="clear" w:color="auto" w:fill="F9E3B8" w:themeFill="accent1" w:themeFillTint="3F"/>
      </w:tcPr>
    </w:tblStylePr>
    <w:tblStylePr w:type="band2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insideV w:val="single" w:sz="8" w:space="0" w:color="BE830E" w:themeColor="accent1"/>
        </w:tcBorders>
      </w:tcPr>
    </w:tblStylePr>
  </w:style>
  <w:style w:type="table" w:styleId="LightGrid-Accent2">
    <w:name w:val="Light Grid Accent 2"/>
    <w:basedOn w:val="TableNormal"/>
    <w:uiPriority w:val="62"/>
    <w:rsid w:val="00F90398"/>
    <w:rPr>
      <w:rFonts w:eastAsia="MS Mincho"/>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insideH w:val="single" w:sz="8" w:space="0" w:color="DFC187" w:themeColor="accent2"/>
        <w:insideV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FC187" w:themeColor="accent2"/>
          <w:left w:val="single" w:sz="8" w:space="0" w:color="DFC187" w:themeColor="accent2"/>
          <w:bottom w:val="single" w:sz="18" w:space="0" w:color="DFC187" w:themeColor="accent2"/>
          <w:right w:val="single" w:sz="8" w:space="0" w:color="DFC187" w:themeColor="accent2"/>
          <w:insideH w:val="nil"/>
          <w:insideV w:val="single" w:sz="8" w:space="0" w:color="DFC18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C187" w:themeColor="accent2"/>
          <w:left w:val="single" w:sz="8" w:space="0" w:color="DFC187" w:themeColor="accent2"/>
          <w:bottom w:val="single" w:sz="8" w:space="0" w:color="DFC187" w:themeColor="accent2"/>
          <w:right w:val="single" w:sz="8" w:space="0" w:color="DFC187" w:themeColor="accent2"/>
          <w:insideH w:val="nil"/>
          <w:insideV w:val="single" w:sz="8" w:space="0" w:color="DFC18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tblStylePr w:type="band1Vert">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shd w:val="clear" w:color="auto" w:fill="F7EFE1" w:themeFill="accent2" w:themeFillTint="3F"/>
      </w:tcPr>
    </w:tblStylePr>
    <w:tblStylePr w:type="band1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insideV w:val="single" w:sz="8" w:space="0" w:color="DFC187" w:themeColor="accent2"/>
        </w:tcBorders>
        <w:shd w:val="clear" w:color="auto" w:fill="F7EFE1" w:themeFill="accent2" w:themeFillTint="3F"/>
      </w:tcPr>
    </w:tblStylePr>
    <w:tblStylePr w:type="band2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insideV w:val="single" w:sz="8" w:space="0" w:color="DFC187" w:themeColor="accent2"/>
        </w:tcBorders>
      </w:tcPr>
    </w:tblStylePr>
  </w:style>
  <w:style w:type="table" w:styleId="LightGrid-Accent3">
    <w:name w:val="Light Grid Accent 3"/>
    <w:basedOn w:val="TableNormal"/>
    <w:uiPriority w:val="62"/>
    <w:rsid w:val="00F90398"/>
    <w:rPr>
      <w:rFonts w:eastAsia="MS Mincho"/>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insideH w:val="single" w:sz="8" w:space="0" w:color="F5EDDE" w:themeColor="accent3"/>
        <w:insideV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5EDDE" w:themeColor="accent3"/>
          <w:left w:val="single" w:sz="8" w:space="0" w:color="F5EDDE" w:themeColor="accent3"/>
          <w:bottom w:val="single" w:sz="18" w:space="0" w:color="F5EDDE" w:themeColor="accent3"/>
          <w:right w:val="single" w:sz="8" w:space="0" w:color="F5EDDE" w:themeColor="accent3"/>
          <w:insideH w:val="nil"/>
          <w:insideV w:val="single" w:sz="8" w:space="0" w:color="F5EDD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EDDE" w:themeColor="accent3"/>
          <w:left w:val="single" w:sz="8" w:space="0" w:color="F5EDDE" w:themeColor="accent3"/>
          <w:bottom w:val="single" w:sz="8" w:space="0" w:color="F5EDDE" w:themeColor="accent3"/>
          <w:right w:val="single" w:sz="8" w:space="0" w:color="F5EDDE" w:themeColor="accent3"/>
          <w:insideH w:val="nil"/>
          <w:insideV w:val="single" w:sz="8" w:space="0" w:color="F5EDD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tblStylePr w:type="band1Vert">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shd w:val="clear" w:color="auto" w:fill="FCFAF6" w:themeFill="accent3" w:themeFillTint="3F"/>
      </w:tcPr>
    </w:tblStylePr>
    <w:tblStylePr w:type="band1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insideV w:val="single" w:sz="8" w:space="0" w:color="F5EDDE" w:themeColor="accent3"/>
        </w:tcBorders>
        <w:shd w:val="clear" w:color="auto" w:fill="FCFAF6" w:themeFill="accent3" w:themeFillTint="3F"/>
      </w:tcPr>
    </w:tblStylePr>
    <w:tblStylePr w:type="band2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insideV w:val="single" w:sz="8" w:space="0" w:color="F5EDDE" w:themeColor="accent3"/>
        </w:tcBorders>
      </w:tcPr>
    </w:tblStylePr>
  </w:style>
  <w:style w:type="table" w:styleId="LightGrid-Accent4">
    <w:name w:val="Light Grid Accent 4"/>
    <w:basedOn w:val="TableNormal"/>
    <w:uiPriority w:val="62"/>
    <w:rsid w:val="00F90398"/>
    <w:rPr>
      <w:rFonts w:eastAsia="MS Mincho"/>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insideH w:val="single" w:sz="8" w:space="0" w:color="BE4E0E" w:themeColor="accent4"/>
        <w:insideV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E4E0E" w:themeColor="accent4"/>
          <w:left w:val="single" w:sz="8" w:space="0" w:color="BE4E0E" w:themeColor="accent4"/>
          <w:bottom w:val="single" w:sz="18" w:space="0" w:color="BE4E0E" w:themeColor="accent4"/>
          <w:right w:val="single" w:sz="8" w:space="0" w:color="BE4E0E" w:themeColor="accent4"/>
          <w:insideH w:val="nil"/>
          <w:insideV w:val="single" w:sz="8" w:space="0" w:color="BE4E0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4E0E" w:themeColor="accent4"/>
          <w:left w:val="single" w:sz="8" w:space="0" w:color="BE4E0E" w:themeColor="accent4"/>
          <w:bottom w:val="single" w:sz="8" w:space="0" w:color="BE4E0E" w:themeColor="accent4"/>
          <w:right w:val="single" w:sz="8" w:space="0" w:color="BE4E0E" w:themeColor="accent4"/>
          <w:insideH w:val="nil"/>
          <w:insideV w:val="single" w:sz="8" w:space="0" w:color="BE4E0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tblStylePr w:type="band1Vert">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shd w:val="clear" w:color="auto" w:fill="F9D0B8" w:themeFill="accent4" w:themeFillTint="3F"/>
      </w:tcPr>
    </w:tblStylePr>
    <w:tblStylePr w:type="band1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insideV w:val="single" w:sz="8" w:space="0" w:color="BE4E0E" w:themeColor="accent4"/>
        </w:tcBorders>
        <w:shd w:val="clear" w:color="auto" w:fill="F9D0B8" w:themeFill="accent4" w:themeFillTint="3F"/>
      </w:tcPr>
    </w:tblStylePr>
    <w:tblStylePr w:type="band2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insideV w:val="single" w:sz="8" w:space="0" w:color="BE4E0E" w:themeColor="accent4"/>
        </w:tcBorders>
      </w:tcPr>
    </w:tblStylePr>
  </w:style>
  <w:style w:type="table" w:styleId="LightGrid-Accent5">
    <w:name w:val="Light Grid Accent 5"/>
    <w:basedOn w:val="TableNormal"/>
    <w:uiPriority w:val="62"/>
    <w:rsid w:val="00F90398"/>
    <w:rPr>
      <w:rFonts w:eastAsia="MS Mincho"/>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insideH w:val="single" w:sz="8" w:space="0" w:color="CB7352" w:themeColor="accent5"/>
        <w:insideV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B7352" w:themeColor="accent5"/>
          <w:left w:val="single" w:sz="8" w:space="0" w:color="CB7352" w:themeColor="accent5"/>
          <w:bottom w:val="single" w:sz="18" w:space="0" w:color="CB7352" w:themeColor="accent5"/>
          <w:right w:val="single" w:sz="8" w:space="0" w:color="CB7352" w:themeColor="accent5"/>
          <w:insideH w:val="nil"/>
          <w:insideV w:val="single" w:sz="8" w:space="0" w:color="CB735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B7352" w:themeColor="accent5"/>
          <w:left w:val="single" w:sz="8" w:space="0" w:color="CB7352" w:themeColor="accent5"/>
          <w:bottom w:val="single" w:sz="8" w:space="0" w:color="CB7352" w:themeColor="accent5"/>
          <w:right w:val="single" w:sz="8" w:space="0" w:color="CB7352" w:themeColor="accent5"/>
          <w:insideH w:val="nil"/>
          <w:insideV w:val="single" w:sz="8" w:space="0" w:color="CB735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tblStylePr w:type="band1Vert">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shd w:val="clear" w:color="auto" w:fill="F2DCD4" w:themeFill="accent5" w:themeFillTint="3F"/>
      </w:tcPr>
    </w:tblStylePr>
    <w:tblStylePr w:type="band1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insideV w:val="single" w:sz="8" w:space="0" w:color="CB7352" w:themeColor="accent5"/>
        </w:tcBorders>
        <w:shd w:val="clear" w:color="auto" w:fill="F2DCD4" w:themeFill="accent5" w:themeFillTint="3F"/>
      </w:tcPr>
    </w:tblStylePr>
    <w:tblStylePr w:type="band2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insideV w:val="single" w:sz="8" w:space="0" w:color="CB7352" w:themeColor="accent5"/>
        </w:tcBorders>
      </w:tcPr>
    </w:tblStylePr>
  </w:style>
  <w:style w:type="table" w:styleId="LightGrid-Accent6">
    <w:name w:val="Light Grid Accent 6"/>
    <w:basedOn w:val="TableNormal"/>
    <w:uiPriority w:val="62"/>
    <w:rsid w:val="00F90398"/>
    <w:rPr>
      <w:rFonts w:eastAsia="MS Mincho"/>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insideH w:val="single" w:sz="8" w:space="0" w:color="F2DCD4" w:themeColor="accent6"/>
        <w:insideV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2DCD4" w:themeColor="accent6"/>
          <w:left w:val="single" w:sz="8" w:space="0" w:color="F2DCD4" w:themeColor="accent6"/>
          <w:bottom w:val="single" w:sz="18" w:space="0" w:color="F2DCD4" w:themeColor="accent6"/>
          <w:right w:val="single" w:sz="8" w:space="0" w:color="F2DCD4" w:themeColor="accent6"/>
          <w:insideH w:val="nil"/>
          <w:insideV w:val="single" w:sz="8" w:space="0" w:color="F2DCD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DCD4" w:themeColor="accent6"/>
          <w:left w:val="single" w:sz="8" w:space="0" w:color="F2DCD4" w:themeColor="accent6"/>
          <w:bottom w:val="single" w:sz="8" w:space="0" w:color="F2DCD4" w:themeColor="accent6"/>
          <w:right w:val="single" w:sz="8" w:space="0" w:color="F2DCD4" w:themeColor="accent6"/>
          <w:insideH w:val="nil"/>
          <w:insideV w:val="single" w:sz="8" w:space="0" w:color="F2DCD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tblStylePr w:type="band1Vert">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shd w:val="clear" w:color="auto" w:fill="FBF6F4" w:themeFill="accent6" w:themeFillTint="3F"/>
      </w:tcPr>
    </w:tblStylePr>
    <w:tblStylePr w:type="band1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insideV w:val="single" w:sz="8" w:space="0" w:color="F2DCD4" w:themeColor="accent6"/>
        </w:tcBorders>
        <w:shd w:val="clear" w:color="auto" w:fill="FBF6F4" w:themeFill="accent6" w:themeFillTint="3F"/>
      </w:tcPr>
    </w:tblStylePr>
    <w:tblStylePr w:type="band2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insideV w:val="single" w:sz="8" w:space="0" w:color="F2DCD4" w:themeColor="accent6"/>
        </w:tcBorders>
      </w:tcPr>
    </w:tblStylePr>
  </w:style>
  <w:style w:type="table" w:styleId="LightList">
    <w:name w:val="Light List"/>
    <w:basedOn w:val="TableNormal"/>
    <w:uiPriority w:val="61"/>
    <w:rsid w:val="00F90398"/>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90398"/>
    <w:rPr>
      <w:rFonts w:eastAsia="MS Mincho"/>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E830E" w:themeFill="accent1"/>
      </w:tcPr>
    </w:tblStylePr>
    <w:tblStylePr w:type="lastRow">
      <w:pPr>
        <w:spacing w:before="0" w:after="0" w:line="240" w:lineRule="auto"/>
      </w:pPr>
      <w:rPr>
        <w:b/>
        <w:bCs/>
      </w:rPr>
      <w:tblPr/>
      <w:tcPr>
        <w:tcBorders>
          <w:top w:val="double" w:sz="6" w:space="0" w:color="BE830E" w:themeColor="accent1"/>
          <w:left w:val="single" w:sz="8" w:space="0" w:color="BE830E" w:themeColor="accent1"/>
          <w:bottom w:val="single" w:sz="8" w:space="0" w:color="BE830E" w:themeColor="accent1"/>
          <w:right w:val="single" w:sz="8" w:space="0" w:color="BE830E" w:themeColor="accent1"/>
        </w:tcBorders>
      </w:tcPr>
    </w:tblStylePr>
    <w:tblStylePr w:type="firstCol">
      <w:rPr>
        <w:b/>
        <w:bCs/>
      </w:rPr>
    </w:tblStylePr>
    <w:tblStylePr w:type="lastCol">
      <w:rPr>
        <w:b/>
        <w:bCs/>
      </w:rPr>
    </w:tblStylePr>
    <w:tblStylePr w:type="band1Vert">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tblStylePr w:type="band1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style>
  <w:style w:type="table" w:styleId="LightList-Accent2">
    <w:name w:val="Light List Accent 2"/>
    <w:basedOn w:val="TableNormal"/>
    <w:uiPriority w:val="61"/>
    <w:rsid w:val="00F90398"/>
    <w:rPr>
      <w:rFonts w:eastAsia="MS Mincho"/>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FC187" w:themeFill="accent2"/>
      </w:tcPr>
    </w:tblStylePr>
    <w:tblStylePr w:type="lastRow">
      <w:pPr>
        <w:spacing w:before="0" w:after="0" w:line="240" w:lineRule="auto"/>
      </w:pPr>
      <w:rPr>
        <w:b/>
        <w:bCs/>
      </w:rPr>
      <w:tblPr/>
      <w:tcPr>
        <w:tcBorders>
          <w:top w:val="double" w:sz="6" w:space="0" w:color="DFC187" w:themeColor="accent2"/>
          <w:left w:val="single" w:sz="8" w:space="0" w:color="DFC187" w:themeColor="accent2"/>
          <w:bottom w:val="single" w:sz="8" w:space="0" w:color="DFC187" w:themeColor="accent2"/>
          <w:right w:val="single" w:sz="8" w:space="0" w:color="DFC187" w:themeColor="accent2"/>
        </w:tcBorders>
      </w:tcPr>
    </w:tblStylePr>
    <w:tblStylePr w:type="firstCol">
      <w:rPr>
        <w:b/>
        <w:bCs/>
      </w:rPr>
    </w:tblStylePr>
    <w:tblStylePr w:type="lastCol">
      <w:rPr>
        <w:b/>
        <w:bCs/>
      </w:rPr>
    </w:tblStylePr>
    <w:tblStylePr w:type="band1Vert">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tblStylePr w:type="band1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style>
  <w:style w:type="table" w:styleId="LightList-Accent3">
    <w:name w:val="Light List Accent 3"/>
    <w:basedOn w:val="TableNormal"/>
    <w:uiPriority w:val="61"/>
    <w:rsid w:val="00F90398"/>
    <w:rPr>
      <w:rFonts w:eastAsia="MS Mincho"/>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5EDDE" w:themeFill="accent3"/>
      </w:tcPr>
    </w:tblStylePr>
    <w:tblStylePr w:type="lastRow">
      <w:pPr>
        <w:spacing w:before="0" w:after="0" w:line="240" w:lineRule="auto"/>
      </w:pPr>
      <w:rPr>
        <w:b/>
        <w:bCs/>
      </w:rPr>
      <w:tblPr/>
      <w:tcPr>
        <w:tcBorders>
          <w:top w:val="double" w:sz="6" w:space="0" w:color="F5EDDE" w:themeColor="accent3"/>
          <w:left w:val="single" w:sz="8" w:space="0" w:color="F5EDDE" w:themeColor="accent3"/>
          <w:bottom w:val="single" w:sz="8" w:space="0" w:color="F5EDDE" w:themeColor="accent3"/>
          <w:right w:val="single" w:sz="8" w:space="0" w:color="F5EDDE" w:themeColor="accent3"/>
        </w:tcBorders>
      </w:tcPr>
    </w:tblStylePr>
    <w:tblStylePr w:type="firstCol">
      <w:rPr>
        <w:b/>
        <w:bCs/>
      </w:rPr>
    </w:tblStylePr>
    <w:tblStylePr w:type="lastCol">
      <w:rPr>
        <w:b/>
        <w:bCs/>
      </w:rPr>
    </w:tblStylePr>
    <w:tblStylePr w:type="band1Vert">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tblStylePr w:type="band1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style>
  <w:style w:type="table" w:styleId="LightList-Accent4">
    <w:name w:val="Light List Accent 4"/>
    <w:basedOn w:val="TableNormal"/>
    <w:uiPriority w:val="61"/>
    <w:rsid w:val="00F90398"/>
    <w:rPr>
      <w:rFonts w:eastAsia="MS Mincho"/>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E4E0E" w:themeFill="accent4"/>
      </w:tcPr>
    </w:tblStylePr>
    <w:tblStylePr w:type="lastRow">
      <w:pPr>
        <w:spacing w:before="0" w:after="0" w:line="240" w:lineRule="auto"/>
      </w:pPr>
      <w:rPr>
        <w:b/>
        <w:bCs/>
      </w:rPr>
      <w:tblPr/>
      <w:tcPr>
        <w:tcBorders>
          <w:top w:val="double" w:sz="6" w:space="0" w:color="BE4E0E" w:themeColor="accent4"/>
          <w:left w:val="single" w:sz="8" w:space="0" w:color="BE4E0E" w:themeColor="accent4"/>
          <w:bottom w:val="single" w:sz="8" w:space="0" w:color="BE4E0E" w:themeColor="accent4"/>
          <w:right w:val="single" w:sz="8" w:space="0" w:color="BE4E0E" w:themeColor="accent4"/>
        </w:tcBorders>
      </w:tcPr>
    </w:tblStylePr>
    <w:tblStylePr w:type="firstCol">
      <w:rPr>
        <w:b/>
        <w:bCs/>
      </w:rPr>
    </w:tblStylePr>
    <w:tblStylePr w:type="lastCol">
      <w:rPr>
        <w:b/>
        <w:bCs/>
      </w:rPr>
    </w:tblStylePr>
    <w:tblStylePr w:type="band1Vert">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tblStylePr w:type="band1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style>
  <w:style w:type="table" w:styleId="LightList-Accent5">
    <w:name w:val="Light List Accent 5"/>
    <w:basedOn w:val="TableNormal"/>
    <w:uiPriority w:val="61"/>
    <w:rsid w:val="00F90398"/>
    <w:rPr>
      <w:rFonts w:eastAsia="MS Mincho"/>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B7352" w:themeFill="accent5"/>
      </w:tcPr>
    </w:tblStylePr>
    <w:tblStylePr w:type="lastRow">
      <w:pPr>
        <w:spacing w:before="0" w:after="0" w:line="240" w:lineRule="auto"/>
      </w:pPr>
      <w:rPr>
        <w:b/>
        <w:bCs/>
      </w:rPr>
      <w:tblPr/>
      <w:tcPr>
        <w:tcBorders>
          <w:top w:val="double" w:sz="6" w:space="0" w:color="CB7352" w:themeColor="accent5"/>
          <w:left w:val="single" w:sz="8" w:space="0" w:color="CB7352" w:themeColor="accent5"/>
          <w:bottom w:val="single" w:sz="8" w:space="0" w:color="CB7352" w:themeColor="accent5"/>
          <w:right w:val="single" w:sz="8" w:space="0" w:color="CB7352" w:themeColor="accent5"/>
        </w:tcBorders>
      </w:tcPr>
    </w:tblStylePr>
    <w:tblStylePr w:type="firstCol">
      <w:rPr>
        <w:b/>
        <w:bCs/>
      </w:rPr>
    </w:tblStylePr>
    <w:tblStylePr w:type="lastCol">
      <w:rPr>
        <w:b/>
        <w:bCs/>
      </w:rPr>
    </w:tblStylePr>
    <w:tblStylePr w:type="band1Vert">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tblStylePr w:type="band1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style>
  <w:style w:type="table" w:styleId="LightList-Accent6">
    <w:name w:val="Light List Accent 6"/>
    <w:basedOn w:val="TableNormal"/>
    <w:uiPriority w:val="61"/>
    <w:rsid w:val="00F90398"/>
    <w:rPr>
      <w:rFonts w:eastAsia="MS Mincho"/>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2DCD4" w:themeFill="accent6"/>
      </w:tcPr>
    </w:tblStylePr>
    <w:tblStylePr w:type="lastRow">
      <w:pPr>
        <w:spacing w:before="0" w:after="0" w:line="240" w:lineRule="auto"/>
      </w:pPr>
      <w:rPr>
        <w:b/>
        <w:bCs/>
      </w:rPr>
      <w:tblPr/>
      <w:tcPr>
        <w:tcBorders>
          <w:top w:val="double" w:sz="6" w:space="0" w:color="F2DCD4" w:themeColor="accent6"/>
          <w:left w:val="single" w:sz="8" w:space="0" w:color="F2DCD4" w:themeColor="accent6"/>
          <w:bottom w:val="single" w:sz="8" w:space="0" w:color="F2DCD4" w:themeColor="accent6"/>
          <w:right w:val="single" w:sz="8" w:space="0" w:color="F2DCD4" w:themeColor="accent6"/>
        </w:tcBorders>
      </w:tcPr>
    </w:tblStylePr>
    <w:tblStylePr w:type="firstCol">
      <w:rPr>
        <w:b/>
        <w:bCs/>
      </w:rPr>
    </w:tblStylePr>
    <w:tblStylePr w:type="lastCol">
      <w:rPr>
        <w:b/>
        <w:bCs/>
      </w:rPr>
    </w:tblStylePr>
    <w:tblStylePr w:type="band1Vert">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tblStylePr w:type="band1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style>
  <w:style w:type="table" w:styleId="LightShading">
    <w:name w:val="Light Shading"/>
    <w:basedOn w:val="TableNormal"/>
    <w:uiPriority w:val="60"/>
    <w:rsid w:val="00F90398"/>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90398"/>
    <w:rPr>
      <w:rFonts w:eastAsia="MS Mincho"/>
      <w:color w:val="8E610A" w:themeColor="accent1" w:themeShade="BF"/>
      <w:lang w:val="en-GB" w:eastAsia="en-GB"/>
    </w:rPr>
    <w:tblPr>
      <w:tblStyleRowBandSize w:val="1"/>
      <w:tblStyleColBandSize w:val="1"/>
      <w:tblBorders>
        <w:top w:val="single" w:sz="8" w:space="0" w:color="BE830E" w:themeColor="accent1"/>
        <w:bottom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E830E" w:themeColor="accent1"/>
          <w:left w:val="nil"/>
          <w:bottom w:val="single" w:sz="8" w:space="0" w:color="BE830E" w:themeColor="accent1"/>
          <w:right w:val="nil"/>
          <w:insideH w:val="nil"/>
          <w:insideV w:val="nil"/>
        </w:tcBorders>
      </w:tcPr>
    </w:tblStylePr>
    <w:tblStylePr w:type="lastRow">
      <w:pPr>
        <w:spacing w:before="0" w:after="0" w:line="240" w:lineRule="auto"/>
      </w:pPr>
      <w:rPr>
        <w:b/>
        <w:bCs/>
      </w:rPr>
      <w:tblPr/>
      <w:tcPr>
        <w:tcBorders>
          <w:top w:val="single" w:sz="8" w:space="0" w:color="BE830E" w:themeColor="accent1"/>
          <w:left w:val="nil"/>
          <w:bottom w:val="single" w:sz="8" w:space="0" w:color="BE83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3B8" w:themeFill="accent1" w:themeFillTint="3F"/>
      </w:tcPr>
    </w:tblStylePr>
    <w:tblStylePr w:type="band1Horz">
      <w:tblPr/>
      <w:tcPr>
        <w:tcBorders>
          <w:left w:val="nil"/>
          <w:right w:val="nil"/>
          <w:insideH w:val="nil"/>
          <w:insideV w:val="nil"/>
        </w:tcBorders>
        <w:shd w:val="clear" w:color="auto" w:fill="F9E3B8" w:themeFill="accent1" w:themeFillTint="3F"/>
      </w:tcPr>
    </w:tblStylePr>
  </w:style>
  <w:style w:type="table" w:styleId="LightShading-Accent2">
    <w:name w:val="Light Shading Accent 2"/>
    <w:basedOn w:val="TableNormal"/>
    <w:uiPriority w:val="60"/>
    <w:rsid w:val="00F90398"/>
    <w:rPr>
      <w:rFonts w:eastAsia="MS Mincho"/>
      <w:color w:val="CC9C40" w:themeColor="accent2" w:themeShade="BF"/>
      <w:lang w:val="en-GB" w:eastAsia="en-GB"/>
    </w:rPr>
    <w:tblPr>
      <w:tblStyleRowBandSize w:val="1"/>
      <w:tblStyleColBandSize w:val="1"/>
      <w:tblBorders>
        <w:top w:val="single" w:sz="8" w:space="0" w:color="DFC187" w:themeColor="accent2"/>
        <w:bottom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FC187" w:themeColor="accent2"/>
          <w:left w:val="nil"/>
          <w:bottom w:val="single" w:sz="8" w:space="0" w:color="DFC187" w:themeColor="accent2"/>
          <w:right w:val="nil"/>
          <w:insideH w:val="nil"/>
          <w:insideV w:val="nil"/>
        </w:tcBorders>
      </w:tcPr>
    </w:tblStylePr>
    <w:tblStylePr w:type="lastRow">
      <w:pPr>
        <w:spacing w:before="0" w:after="0" w:line="240" w:lineRule="auto"/>
      </w:pPr>
      <w:rPr>
        <w:b/>
        <w:bCs/>
      </w:rPr>
      <w:tblPr/>
      <w:tcPr>
        <w:tcBorders>
          <w:top w:val="single" w:sz="8" w:space="0" w:color="DFC187" w:themeColor="accent2"/>
          <w:left w:val="nil"/>
          <w:bottom w:val="single" w:sz="8" w:space="0" w:color="DFC1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FE1" w:themeFill="accent2" w:themeFillTint="3F"/>
      </w:tcPr>
    </w:tblStylePr>
    <w:tblStylePr w:type="band1Horz">
      <w:tblPr/>
      <w:tcPr>
        <w:tcBorders>
          <w:left w:val="nil"/>
          <w:right w:val="nil"/>
          <w:insideH w:val="nil"/>
          <w:insideV w:val="nil"/>
        </w:tcBorders>
        <w:shd w:val="clear" w:color="auto" w:fill="F7EFE1" w:themeFill="accent2" w:themeFillTint="3F"/>
      </w:tcPr>
    </w:tblStylePr>
  </w:style>
  <w:style w:type="table" w:styleId="LightShading-Accent3">
    <w:name w:val="Light Shading Accent 3"/>
    <w:basedOn w:val="TableNormal"/>
    <w:uiPriority w:val="60"/>
    <w:rsid w:val="00F90398"/>
    <w:rPr>
      <w:rFonts w:eastAsia="MS Mincho"/>
      <w:color w:val="D9BB83" w:themeColor="accent3" w:themeShade="BF"/>
      <w:lang w:val="en-GB" w:eastAsia="en-GB"/>
    </w:rPr>
    <w:tblPr>
      <w:tblStyleRowBandSize w:val="1"/>
      <w:tblStyleColBandSize w:val="1"/>
      <w:tblBorders>
        <w:top w:val="single" w:sz="8" w:space="0" w:color="F5EDDE" w:themeColor="accent3"/>
        <w:bottom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5EDDE" w:themeColor="accent3"/>
          <w:left w:val="nil"/>
          <w:bottom w:val="single" w:sz="8" w:space="0" w:color="F5EDDE" w:themeColor="accent3"/>
          <w:right w:val="nil"/>
          <w:insideH w:val="nil"/>
          <w:insideV w:val="nil"/>
        </w:tcBorders>
      </w:tcPr>
    </w:tblStylePr>
    <w:tblStylePr w:type="lastRow">
      <w:pPr>
        <w:spacing w:before="0" w:after="0" w:line="240" w:lineRule="auto"/>
      </w:pPr>
      <w:rPr>
        <w:b/>
        <w:bCs/>
      </w:rPr>
      <w:tblPr/>
      <w:tcPr>
        <w:tcBorders>
          <w:top w:val="single" w:sz="8" w:space="0" w:color="F5EDDE" w:themeColor="accent3"/>
          <w:left w:val="nil"/>
          <w:bottom w:val="single" w:sz="8" w:space="0" w:color="F5EDD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left w:val="nil"/>
          <w:right w:val="nil"/>
          <w:insideH w:val="nil"/>
          <w:insideV w:val="nil"/>
        </w:tcBorders>
        <w:shd w:val="clear" w:color="auto" w:fill="FCFAF6" w:themeFill="accent3" w:themeFillTint="3F"/>
      </w:tcPr>
    </w:tblStylePr>
  </w:style>
  <w:style w:type="table" w:styleId="LightShading-Accent4">
    <w:name w:val="Light Shading Accent 4"/>
    <w:basedOn w:val="TableNormal"/>
    <w:uiPriority w:val="60"/>
    <w:rsid w:val="00F90398"/>
    <w:rPr>
      <w:rFonts w:eastAsia="MS Mincho"/>
      <w:color w:val="8E3A0A" w:themeColor="accent4" w:themeShade="BF"/>
      <w:lang w:val="en-GB" w:eastAsia="en-GB"/>
    </w:rPr>
    <w:tblPr>
      <w:tblStyleRowBandSize w:val="1"/>
      <w:tblStyleColBandSize w:val="1"/>
      <w:tblBorders>
        <w:top w:val="single" w:sz="8" w:space="0" w:color="BE4E0E" w:themeColor="accent4"/>
        <w:bottom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E4E0E" w:themeColor="accent4"/>
          <w:left w:val="nil"/>
          <w:bottom w:val="single" w:sz="8" w:space="0" w:color="BE4E0E" w:themeColor="accent4"/>
          <w:right w:val="nil"/>
          <w:insideH w:val="nil"/>
          <w:insideV w:val="nil"/>
        </w:tcBorders>
      </w:tcPr>
    </w:tblStylePr>
    <w:tblStylePr w:type="lastRow">
      <w:pPr>
        <w:spacing w:before="0" w:after="0" w:line="240" w:lineRule="auto"/>
      </w:pPr>
      <w:rPr>
        <w:b/>
        <w:bCs/>
      </w:rPr>
      <w:tblPr/>
      <w:tcPr>
        <w:tcBorders>
          <w:top w:val="single" w:sz="8" w:space="0" w:color="BE4E0E" w:themeColor="accent4"/>
          <w:left w:val="nil"/>
          <w:bottom w:val="single" w:sz="8" w:space="0" w:color="BE4E0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0B8" w:themeFill="accent4" w:themeFillTint="3F"/>
      </w:tcPr>
    </w:tblStylePr>
    <w:tblStylePr w:type="band1Horz">
      <w:tblPr/>
      <w:tcPr>
        <w:tcBorders>
          <w:left w:val="nil"/>
          <w:right w:val="nil"/>
          <w:insideH w:val="nil"/>
          <w:insideV w:val="nil"/>
        </w:tcBorders>
        <w:shd w:val="clear" w:color="auto" w:fill="F9D0B8" w:themeFill="accent4" w:themeFillTint="3F"/>
      </w:tcPr>
    </w:tblStylePr>
  </w:style>
  <w:style w:type="table" w:styleId="LightShading-Accent5">
    <w:name w:val="Light Shading Accent 5"/>
    <w:basedOn w:val="TableNormal"/>
    <w:uiPriority w:val="60"/>
    <w:rsid w:val="00F90398"/>
    <w:rPr>
      <w:rFonts w:eastAsia="MS Mincho"/>
      <w:color w:val="A35031" w:themeColor="accent5" w:themeShade="BF"/>
      <w:lang w:val="en-GB" w:eastAsia="en-GB"/>
    </w:rPr>
    <w:tblPr>
      <w:tblStyleRowBandSize w:val="1"/>
      <w:tblStyleColBandSize w:val="1"/>
      <w:tblBorders>
        <w:top w:val="single" w:sz="8" w:space="0" w:color="CB7352" w:themeColor="accent5"/>
        <w:bottom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B7352" w:themeColor="accent5"/>
          <w:left w:val="nil"/>
          <w:bottom w:val="single" w:sz="8" w:space="0" w:color="CB7352" w:themeColor="accent5"/>
          <w:right w:val="nil"/>
          <w:insideH w:val="nil"/>
          <w:insideV w:val="nil"/>
        </w:tcBorders>
      </w:tcPr>
    </w:tblStylePr>
    <w:tblStylePr w:type="lastRow">
      <w:pPr>
        <w:spacing w:before="0" w:after="0" w:line="240" w:lineRule="auto"/>
      </w:pPr>
      <w:rPr>
        <w:b/>
        <w:bCs/>
      </w:rPr>
      <w:tblPr/>
      <w:tcPr>
        <w:tcBorders>
          <w:top w:val="single" w:sz="8" w:space="0" w:color="CB7352" w:themeColor="accent5"/>
          <w:left w:val="nil"/>
          <w:bottom w:val="single" w:sz="8" w:space="0" w:color="CB735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CD4" w:themeFill="accent5" w:themeFillTint="3F"/>
      </w:tcPr>
    </w:tblStylePr>
    <w:tblStylePr w:type="band1Horz">
      <w:tblPr/>
      <w:tcPr>
        <w:tcBorders>
          <w:left w:val="nil"/>
          <w:right w:val="nil"/>
          <w:insideH w:val="nil"/>
          <w:insideV w:val="nil"/>
        </w:tcBorders>
        <w:shd w:val="clear" w:color="auto" w:fill="F2DCD4" w:themeFill="accent5" w:themeFillTint="3F"/>
      </w:tcPr>
    </w:tblStylePr>
  </w:style>
  <w:style w:type="table" w:styleId="LightShading-Accent6">
    <w:name w:val="Light Shading Accent 6"/>
    <w:basedOn w:val="TableNormal"/>
    <w:uiPriority w:val="60"/>
    <w:rsid w:val="00F90398"/>
    <w:rPr>
      <w:rFonts w:eastAsia="MS Mincho"/>
      <w:color w:val="D7947C" w:themeColor="accent6" w:themeShade="BF"/>
      <w:lang w:val="en-GB" w:eastAsia="en-GB"/>
    </w:rPr>
    <w:tblPr>
      <w:tblStyleRowBandSize w:val="1"/>
      <w:tblStyleColBandSize w:val="1"/>
      <w:tblBorders>
        <w:top w:val="single" w:sz="8" w:space="0" w:color="F2DCD4" w:themeColor="accent6"/>
        <w:bottom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2DCD4" w:themeColor="accent6"/>
          <w:left w:val="nil"/>
          <w:bottom w:val="single" w:sz="8" w:space="0" w:color="F2DCD4" w:themeColor="accent6"/>
          <w:right w:val="nil"/>
          <w:insideH w:val="nil"/>
          <w:insideV w:val="nil"/>
        </w:tcBorders>
      </w:tcPr>
    </w:tblStylePr>
    <w:tblStylePr w:type="lastRow">
      <w:pPr>
        <w:spacing w:before="0" w:after="0" w:line="240" w:lineRule="auto"/>
      </w:pPr>
      <w:rPr>
        <w:b/>
        <w:bCs/>
      </w:rPr>
      <w:tblPr/>
      <w:tcPr>
        <w:tcBorders>
          <w:top w:val="single" w:sz="8" w:space="0" w:color="F2DCD4" w:themeColor="accent6"/>
          <w:left w:val="nil"/>
          <w:bottom w:val="single" w:sz="8" w:space="0" w:color="F2DCD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F4" w:themeFill="accent6" w:themeFillTint="3F"/>
      </w:tcPr>
    </w:tblStylePr>
    <w:tblStylePr w:type="band1Horz">
      <w:tblPr/>
      <w:tcPr>
        <w:tcBorders>
          <w:left w:val="nil"/>
          <w:right w:val="nil"/>
          <w:insideH w:val="nil"/>
          <w:insideV w:val="nil"/>
        </w:tcBorders>
        <w:shd w:val="clear" w:color="auto" w:fill="FBF6F4" w:themeFill="accent6" w:themeFillTint="3F"/>
      </w:tcPr>
    </w:tblStylePr>
  </w:style>
  <w:style w:type="character" w:styleId="LineNumber">
    <w:name w:val="line number"/>
    <w:basedOn w:val="DefaultParagraphFont"/>
    <w:uiPriority w:val="99"/>
    <w:semiHidden/>
    <w:unhideWhenUsed/>
    <w:rsid w:val="00F90398"/>
  </w:style>
  <w:style w:type="paragraph" w:styleId="List">
    <w:name w:val="List"/>
    <w:basedOn w:val="Normal"/>
    <w:uiPriority w:val="99"/>
    <w:semiHidden/>
    <w:unhideWhenUsed/>
    <w:rsid w:val="00F90398"/>
    <w:pPr>
      <w:ind w:left="283" w:hanging="283"/>
      <w:contextualSpacing/>
    </w:pPr>
  </w:style>
  <w:style w:type="paragraph" w:styleId="List2">
    <w:name w:val="List 2"/>
    <w:basedOn w:val="Normal"/>
    <w:uiPriority w:val="99"/>
    <w:semiHidden/>
    <w:unhideWhenUsed/>
    <w:rsid w:val="00F90398"/>
    <w:pPr>
      <w:ind w:left="566" w:hanging="283"/>
      <w:contextualSpacing/>
    </w:pPr>
  </w:style>
  <w:style w:type="paragraph" w:styleId="List3">
    <w:name w:val="List 3"/>
    <w:basedOn w:val="Normal"/>
    <w:uiPriority w:val="99"/>
    <w:semiHidden/>
    <w:unhideWhenUsed/>
    <w:rsid w:val="00F90398"/>
    <w:pPr>
      <w:ind w:left="849" w:hanging="283"/>
      <w:contextualSpacing/>
    </w:pPr>
  </w:style>
  <w:style w:type="paragraph" w:styleId="List4">
    <w:name w:val="List 4"/>
    <w:basedOn w:val="Normal"/>
    <w:uiPriority w:val="99"/>
    <w:semiHidden/>
    <w:unhideWhenUsed/>
    <w:rsid w:val="00F90398"/>
    <w:pPr>
      <w:ind w:left="1132" w:hanging="283"/>
      <w:contextualSpacing/>
    </w:pPr>
  </w:style>
  <w:style w:type="paragraph" w:styleId="List5">
    <w:name w:val="List 5"/>
    <w:basedOn w:val="Normal"/>
    <w:uiPriority w:val="99"/>
    <w:semiHidden/>
    <w:unhideWhenUsed/>
    <w:rsid w:val="00F90398"/>
    <w:pPr>
      <w:ind w:left="1415" w:hanging="283"/>
      <w:contextualSpacing/>
    </w:pPr>
  </w:style>
  <w:style w:type="paragraph" w:styleId="ListBullet2">
    <w:name w:val="List Bullet 2"/>
    <w:basedOn w:val="Normal"/>
    <w:uiPriority w:val="5"/>
    <w:rsid w:val="0025142E"/>
    <w:pPr>
      <w:numPr>
        <w:ilvl w:val="1"/>
        <w:numId w:val="18"/>
      </w:numPr>
    </w:pPr>
  </w:style>
  <w:style w:type="paragraph" w:styleId="ListBullet3">
    <w:name w:val="List Bullet 3"/>
    <w:basedOn w:val="Normal"/>
    <w:uiPriority w:val="5"/>
    <w:rsid w:val="0025142E"/>
    <w:pPr>
      <w:numPr>
        <w:ilvl w:val="2"/>
        <w:numId w:val="18"/>
      </w:numPr>
      <w:ind w:left="1020" w:hanging="340"/>
    </w:pPr>
  </w:style>
  <w:style w:type="paragraph" w:styleId="ListBullet4">
    <w:name w:val="List Bullet 4"/>
    <w:basedOn w:val="Normal"/>
    <w:uiPriority w:val="99"/>
    <w:semiHidden/>
    <w:unhideWhenUsed/>
    <w:rsid w:val="00F90398"/>
    <w:pPr>
      <w:ind w:left="643" w:hanging="360"/>
      <w:contextualSpacing/>
    </w:pPr>
  </w:style>
  <w:style w:type="paragraph" w:styleId="ListBullet5">
    <w:name w:val="List Bullet 5"/>
    <w:basedOn w:val="Normal"/>
    <w:uiPriority w:val="99"/>
    <w:semiHidden/>
    <w:unhideWhenUsed/>
    <w:rsid w:val="00F90398"/>
    <w:pPr>
      <w:tabs>
        <w:tab w:val="num" w:pos="360"/>
      </w:tabs>
      <w:ind w:left="360" w:hanging="360"/>
      <w:contextualSpacing/>
    </w:pPr>
  </w:style>
  <w:style w:type="paragraph" w:styleId="ListContinue2">
    <w:name w:val="List Continue 2"/>
    <w:basedOn w:val="Normal"/>
    <w:uiPriority w:val="99"/>
    <w:semiHidden/>
    <w:unhideWhenUsed/>
    <w:rsid w:val="00F90398"/>
    <w:pPr>
      <w:ind w:left="566"/>
      <w:contextualSpacing/>
    </w:pPr>
  </w:style>
  <w:style w:type="paragraph" w:styleId="ListContinue3">
    <w:name w:val="List Continue 3"/>
    <w:basedOn w:val="Normal"/>
    <w:uiPriority w:val="99"/>
    <w:semiHidden/>
    <w:unhideWhenUsed/>
    <w:rsid w:val="00F90398"/>
    <w:pPr>
      <w:ind w:left="849"/>
      <w:contextualSpacing/>
    </w:pPr>
  </w:style>
  <w:style w:type="paragraph" w:styleId="ListContinue4">
    <w:name w:val="List Continue 4"/>
    <w:basedOn w:val="Normal"/>
    <w:uiPriority w:val="99"/>
    <w:semiHidden/>
    <w:unhideWhenUsed/>
    <w:rsid w:val="00F90398"/>
    <w:pPr>
      <w:ind w:left="1132"/>
      <w:contextualSpacing/>
    </w:pPr>
  </w:style>
  <w:style w:type="paragraph" w:styleId="ListContinue5">
    <w:name w:val="List Continue 5"/>
    <w:basedOn w:val="Normal"/>
    <w:uiPriority w:val="99"/>
    <w:semiHidden/>
    <w:unhideWhenUsed/>
    <w:rsid w:val="00F90398"/>
    <w:pPr>
      <w:ind w:left="1415"/>
      <w:contextualSpacing/>
    </w:pPr>
  </w:style>
  <w:style w:type="paragraph" w:styleId="Caption">
    <w:name w:val="caption"/>
    <w:basedOn w:val="Normal"/>
    <w:next w:val="Normal"/>
    <w:uiPriority w:val="35"/>
    <w:unhideWhenUsed/>
    <w:qFormat/>
    <w:rsid w:val="00C53999"/>
    <w:pPr>
      <w:spacing w:line="240" w:lineRule="auto"/>
    </w:pPr>
    <w:rPr>
      <w:b/>
      <w:bCs/>
      <w:color w:val="404040" w:themeColor="text1" w:themeTint="BF"/>
      <w:sz w:val="20"/>
      <w:szCs w:val="20"/>
    </w:rPr>
  </w:style>
  <w:style w:type="paragraph" w:styleId="ListNumber3">
    <w:name w:val="List Number 3"/>
    <w:basedOn w:val="Normal"/>
    <w:uiPriority w:val="6"/>
    <w:rsid w:val="0025142E"/>
    <w:pPr>
      <w:numPr>
        <w:ilvl w:val="2"/>
        <w:numId w:val="14"/>
      </w:numPr>
    </w:pPr>
  </w:style>
  <w:style w:type="paragraph" w:styleId="ListNumber4">
    <w:name w:val="List Number 4"/>
    <w:basedOn w:val="Normal"/>
    <w:uiPriority w:val="99"/>
    <w:semiHidden/>
    <w:unhideWhenUsed/>
    <w:rsid w:val="00F90398"/>
    <w:pPr>
      <w:ind w:left="720" w:hanging="360"/>
      <w:contextualSpacing/>
    </w:pPr>
  </w:style>
  <w:style w:type="paragraph" w:styleId="ListNumber5">
    <w:name w:val="List Number 5"/>
    <w:basedOn w:val="Normal"/>
    <w:uiPriority w:val="99"/>
    <w:semiHidden/>
    <w:unhideWhenUsed/>
    <w:rsid w:val="00F90398"/>
    <w:pPr>
      <w:numPr>
        <w:numId w:val="1"/>
      </w:numPr>
      <w:contextualSpacing/>
    </w:pPr>
  </w:style>
  <w:style w:type="paragraph" w:styleId="ListParagraph">
    <w:name w:val="List Paragraph"/>
    <w:basedOn w:val="Normal"/>
    <w:uiPriority w:val="34"/>
    <w:qFormat/>
    <w:rsid w:val="00F90398"/>
    <w:pPr>
      <w:ind w:left="720"/>
      <w:contextualSpacing/>
    </w:pPr>
  </w:style>
  <w:style w:type="paragraph" w:styleId="MacroText">
    <w:name w:val="macro"/>
    <w:link w:val="MacroTextChar"/>
    <w:uiPriority w:val="99"/>
    <w:semiHidden/>
    <w:unhideWhenUsed/>
    <w:rsid w:val="00F90398"/>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Consolas"/>
    </w:rPr>
  </w:style>
  <w:style w:type="character" w:customStyle="1" w:styleId="MacroTextChar">
    <w:name w:val="Macro Text Char"/>
    <w:basedOn w:val="DefaultParagraphFont"/>
    <w:link w:val="MacroText"/>
    <w:uiPriority w:val="99"/>
    <w:semiHidden/>
    <w:rsid w:val="00F90398"/>
    <w:rPr>
      <w:rFonts w:ascii="Consolas" w:hAnsi="Consolas" w:cs="Consolas"/>
    </w:rPr>
  </w:style>
  <w:style w:type="table" w:styleId="MediumGrid1">
    <w:name w:val="Medium Grid 1"/>
    <w:basedOn w:val="TableNormal"/>
    <w:uiPriority w:val="67"/>
    <w:rsid w:val="00F90398"/>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90398"/>
    <w:rPr>
      <w:rFonts w:eastAsia="MS Mincho"/>
      <w:lang w:val="en-GB" w:eastAsia="en-GB"/>
    </w:rPr>
    <w:tblPr>
      <w:tblStyleRowBandSize w:val="1"/>
      <w:tblStyleColBandSize w:val="1"/>
      <w:tbl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single" w:sz="8" w:space="0" w:color="EFAC29" w:themeColor="accent1" w:themeTint="BF"/>
        <w:insideV w:val="single" w:sz="8" w:space="0" w:color="EFAC29" w:themeColor="accent1" w:themeTint="BF"/>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AC29" w:themeColor="accent1" w:themeTint="BF"/>
        </w:tcBorders>
      </w:tcPr>
    </w:tblStylePr>
    <w:tblStylePr w:type="firstCol">
      <w:rPr>
        <w:b/>
        <w:bCs/>
      </w:rPr>
    </w:tblStylePr>
    <w:tblStylePr w:type="lastCol">
      <w:rPr>
        <w:b/>
        <w:bCs/>
      </w:rPr>
    </w:tblStylePr>
    <w:tblStylePr w:type="band1Vert">
      <w:tblPr/>
      <w:tcPr>
        <w:shd w:val="clear" w:color="auto" w:fill="F4C870" w:themeFill="accent1" w:themeFillTint="7F"/>
      </w:tcPr>
    </w:tblStylePr>
    <w:tblStylePr w:type="band1Horz">
      <w:tblPr/>
      <w:tcPr>
        <w:shd w:val="clear" w:color="auto" w:fill="F4C870" w:themeFill="accent1" w:themeFillTint="7F"/>
      </w:tcPr>
    </w:tblStylePr>
  </w:style>
  <w:style w:type="table" w:styleId="MediumGrid1-Accent2">
    <w:name w:val="Medium Grid 1 Accent 2"/>
    <w:basedOn w:val="TableNormal"/>
    <w:uiPriority w:val="67"/>
    <w:rsid w:val="00F90398"/>
    <w:rPr>
      <w:rFonts w:eastAsia="MS Mincho"/>
      <w:lang w:val="en-GB" w:eastAsia="en-GB"/>
    </w:rPr>
    <w:tblPr>
      <w:tblStyleRowBandSize w:val="1"/>
      <w:tblStyleColBandSize w:val="1"/>
      <w:tbl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single" w:sz="8" w:space="0" w:color="E7D0A5" w:themeColor="accent2" w:themeTint="BF"/>
        <w:insideV w:val="single" w:sz="8" w:space="0" w:color="E7D0A5" w:themeColor="accent2" w:themeTint="BF"/>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7D0A5" w:themeColor="accent2" w:themeTint="BF"/>
        </w:tcBorders>
      </w:tcPr>
    </w:tblStylePr>
    <w:tblStylePr w:type="firstCol">
      <w:rPr>
        <w:b/>
        <w:bCs/>
      </w:rPr>
    </w:tblStylePr>
    <w:tblStylePr w:type="lastCol">
      <w:rPr>
        <w:b/>
        <w:bCs/>
      </w:rPr>
    </w:tblStylePr>
    <w:tblStylePr w:type="band1Vert">
      <w:tblPr/>
      <w:tcPr>
        <w:shd w:val="clear" w:color="auto" w:fill="EFDFC3" w:themeFill="accent2" w:themeFillTint="7F"/>
      </w:tcPr>
    </w:tblStylePr>
    <w:tblStylePr w:type="band1Horz">
      <w:tblPr/>
      <w:tcPr>
        <w:shd w:val="clear" w:color="auto" w:fill="EFDFC3" w:themeFill="accent2" w:themeFillTint="7F"/>
      </w:tcPr>
    </w:tblStylePr>
  </w:style>
  <w:style w:type="table" w:styleId="MediumGrid1-Accent3">
    <w:name w:val="Medium Grid 1 Accent 3"/>
    <w:basedOn w:val="TableNormal"/>
    <w:uiPriority w:val="67"/>
    <w:rsid w:val="00F90398"/>
    <w:rPr>
      <w:rFonts w:eastAsia="MS Mincho"/>
      <w:lang w:val="en-GB" w:eastAsia="en-GB"/>
    </w:rPr>
    <w:tblPr>
      <w:tblStyleRowBandSize w:val="1"/>
      <w:tblStyleColBandSize w:val="1"/>
      <w:tbl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single" w:sz="8" w:space="0" w:color="F7F1E6" w:themeColor="accent3" w:themeTint="BF"/>
        <w:insideV w:val="single" w:sz="8" w:space="0" w:color="F7F1E6" w:themeColor="accent3" w:themeTint="BF"/>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7F1E6" w:themeColor="accent3" w:themeTint="BF"/>
        </w:tcBorders>
      </w:tcPr>
    </w:tblStylePr>
    <w:tblStylePr w:type="firstCol">
      <w:rPr>
        <w:b/>
        <w:bCs/>
      </w:rPr>
    </w:tblStylePr>
    <w:tblStylePr w:type="lastCol">
      <w:rPr>
        <w:b/>
        <w:bCs/>
      </w:rPr>
    </w:tblStylePr>
    <w:tblStylePr w:type="band1Vert">
      <w:tblPr/>
      <w:tcPr>
        <w:shd w:val="clear" w:color="auto" w:fill="FAF5EE" w:themeFill="accent3" w:themeFillTint="7F"/>
      </w:tcPr>
    </w:tblStylePr>
    <w:tblStylePr w:type="band1Horz">
      <w:tblPr/>
      <w:tcPr>
        <w:shd w:val="clear" w:color="auto" w:fill="FAF5EE" w:themeFill="accent3" w:themeFillTint="7F"/>
      </w:tcPr>
    </w:tblStylePr>
  </w:style>
  <w:style w:type="table" w:styleId="MediumGrid1-Accent4">
    <w:name w:val="Medium Grid 1 Accent 4"/>
    <w:basedOn w:val="TableNormal"/>
    <w:uiPriority w:val="67"/>
    <w:rsid w:val="00F90398"/>
    <w:rPr>
      <w:rFonts w:eastAsia="MS Mincho"/>
      <w:lang w:val="en-GB" w:eastAsia="en-GB"/>
    </w:rPr>
    <w:tblPr>
      <w:tblStyleRowBandSize w:val="1"/>
      <w:tblStyleColBandSize w:val="1"/>
      <w:tbl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single" w:sz="8" w:space="0" w:color="EF7029" w:themeColor="accent4" w:themeTint="BF"/>
        <w:insideV w:val="single" w:sz="8" w:space="0" w:color="EF7029" w:themeColor="accent4" w:themeTint="BF"/>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7029" w:themeColor="accent4" w:themeTint="BF"/>
        </w:tcBorders>
      </w:tcPr>
    </w:tblStylePr>
    <w:tblStylePr w:type="firstCol">
      <w:rPr>
        <w:b/>
        <w:bCs/>
      </w:rPr>
    </w:tblStylePr>
    <w:tblStylePr w:type="lastCol">
      <w:rPr>
        <w:b/>
        <w:bCs/>
      </w:rPr>
    </w:tblStylePr>
    <w:tblStylePr w:type="band1Vert">
      <w:tblPr/>
      <w:tcPr>
        <w:shd w:val="clear" w:color="auto" w:fill="F4A070" w:themeFill="accent4" w:themeFillTint="7F"/>
      </w:tcPr>
    </w:tblStylePr>
    <w:tblStylePr w:type="band1Horz">
      <w:tblPr/>
      <w:tcPr>
        <w:shd w:val="clear" w:color="auto" w:fill="F4A070" w:themeFill="accent4" w:themeFillTint="7F"/>
      </w:tcPr>
    </w:tblStylePr>
  </w:style>
  <w:style w:type="table" w:styleId="MediumGrid1-Accent5">
    <w:name w:val="Medium Grid 1 Accent 5"/>
    <w:basedOn w:val="TableNormal"/>
    <w:uiPriority w:val="67"/>
    <w:rsid w:val="00F90398"/>
    <w:rPr>
      <w:rFonts w:eastAsia="MS Mincho"/>
      <w:lang w:val="en-GB" w:eastAsia="en-GB"/>
    </w:rPr>
    <w:tblPr>
      <w:tblStyleRowBandSize w:val="1"/>
      <w:tblStyleColBandSize w:val="1"/>
      <w:tbl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single" w:sz="8" w:space="0" w:color="D8957D" w:themeColor="accent5" w:themeTint="BF"/>
        <w:insideV w:val="single" w:sz="8" w:space="0" w:color="D8957D" w:themeColor="accent5" w:themeTint="BF"/>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D8957D" w:themeColor="accent5" w:themeTint="BF"/>
        </w:tcBorders>
      </w:tcPr>
    </w:tblStylePr>
    <w:tblStylePr w:type="firstCol">
      <w:rPr>
        <w:b/>
        <w:bCs/>
      </w:rPr>
    </w:tblStylePr>
    <w:tblStylePr w:type="lastCol">
      <w:rPr>
        <w:b/>
        <w:bCs/>
      </w:rPr>
    </w:tblStylePr>
    <w:tblStylePr w:type="band1Vert">
      <w:tblPr/>
      <w:tcPr>
        <w:shd w:val="clear" w:color="auto" w:fill="E5B8A8" w:themeFill="accent5" w:themeFillTint="7F"/>
      </w:tcPr>
    </w:tblStylePr>
    <w:tblStylePr w:type="band1Horz">
      <w:tblPr/>
      <w:tcPr>
        <w:shd w:val="clear" w:color="auto" w:fill="E5B8A8" w:themeFill="accent5" w:themeFillTint="7F"/>
      </w:tcPr>
    </w:tblStylePr>
  </w:style>
  <w:style w:type="table" w:styleId="MediumGrid1-Accent6">
    <w:name w:val="Medium Grid 1 Accent 6"/>
    <w:basedOn w:val="TableNormal"/>
    <w:uiPriority w:val="67"/>
    <w:rsid w:val="00F90398"/>
    <w:rPr>
      <w:rFonts w:eastAsia="MS Mincho"/>
      <w:lang w:val="en-GB" w:eastAsia="en-GB"/>
    </w:rPr>
    <w:tblPr>
      <w:tblStyleRowBandSize w:val="1"/>
      <w:tblStyleColBandSize w:val="1"/>
      <w:tbl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single" w:sz="8" w:space="0" w:color="F5E4DE" w:themeColor="accent6" w:themeTint="BF"/>
        <w:insideV w:val="single" w:sz="8" w:space="0" w:color="F5E4DE" w:themeColor="accent6" w:themeTint="BF"/>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5E4DE" w:themeColor="accent6" w:themeTint="BF"/>
        </w:tcBorders>
      </w:tcPr>
    </w:tblStylePr>
    <w:tblStylePr w:type="firstCol">
      <w:rPr>
        <w:b/>
        <w:bCs/>
      </w:rPr>
    </w:tblStylePr>
    <w:tblStylePr w:type="lastCol">
      <w:rPr>
        <w:b/>
        <w:bCs/>
      </w:rPr>
    </w:tblStylePr>
    <w:tblStylePr w:type="band1Vert">
      <w:tblPr/>
      <w:tcPr>
        <w:shd w:val="clear" w:color="auto" w:fill="F8EDE9" w:themeFill="accent6" w:themeFillTint="7F"/>
      </w:tcPr>
    </w:tblStylePr>
    <w:tblStylePr w:type="band1Horz">
      <w:tblPr/>
      <w:tcPr>
        <w:shd w:val="clear" w:color="auto" w:fill="F8EDE9" w:themeFill="accent6" w:themeFillTint="7F"/>
      </w:tcPr>
    </w:tblStylePr>
  </w:style>
  <w:style w:type="table" w:styleId="MediumGrid2">
    <w:name w:val="Medium Grid 2"/>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insideH w:val="single" w:sz="8" w:space="0" w:color="BE830E" w:themeColor="accent1"/>
        <w:insideV w:val="single" w:sz="8" w:space="0" w:color="BE830E" w:themeColor="accent1"/>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rPr>
      <w:tblPr/>
      <w:tcPr>
        <w:shd w:val="clear" w:color="auto" w:fill="FDF4E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8C5" w:themeFill="accent1" w:themeFillTint="33"/>
      </w:tcPr>
    </w:tblStylePr>
    <w:tblStylePr w:type="band1Vert">
      <w:tblPr/>
      <w:tcPr>
        <w:shd w:val="clear" w:color="auto" w:fill="F4C870" w:themeFill="accent1" w:themeFillTint="7F"/>
      </w:tcPr>
    </w:tblStylePr>
    <w:tblStylePr w:type="band1Horz">
      <w:tblPr/>
      <w:tcPr>
        <w:tcBorders>
          <w:insideH w:val="single" w:sz="6" w:space="0" w:color="BE830E" w:themeColor="accent1"/>
          <w:insideV w:val="single" w:sz="6" w:space="0" w:color="BE830E" w:themeColor="accent1"/>
        </w:tcBorders>
        <w:shd w:val="clear" w:color="auto" w:fill="F4C87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insideH w:val="single" w:sz="8" w:space="0" w:color="DFC187" w:themeColor="accent2"/>
        <w:insideV w:val="single" w:sz="8" w:space="0" w:color="DFC187" w:themeColor="accent2"/>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rPr>
      <w:tblPr/>
      <w:tcPr>
        <w:shd w:val="clear" w:color="auto" w:fill="FCF8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2E6" w:themeFill="accent2" w:themeFillTint="33"/>
      </w:tcPr>
    </w:tblStylePr>
    <w:tblStylePr w:type="band1Vert">
      <w:tblPr/>
      <w:tcPr>
        <w:shd w:val="clear" w:color="auto" w:fill="EFDFC3" w:themeFill="accent2" w:themeFillTint="7F"/>
      </w:tcPr>
    </w:tblStylePr>
    <w:tblStylePr w:type="band1Horz">
      <w:tblPr/>
      <w:tcPr>
        <w:tcBorders>
          <w:insideH w:val="single" w:sz="6" w:space="0" w:color="DFC187" w:themeColor="accent2"/>
          <w:insideV w:val="single" w:sz="6" w:space="0" w:color="DFC187" w:themeColor="accent2"/>
        </w:tcBorders>
        <w:shd w:val="clear" w:color="auto" w:fill="EFDFC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insideH w:val="single" w:sz="8" w:space="0" w:color="F5EDDE" w:themeColor="accent3"/>
        <w:insideV w:val="single" w:sz="8" w:space="0" w:color="F5EDDE" w:themeColor="accent3"/>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rPr>
      <w:tblPr/>
      <w:tcPr>
        <w:shd w:val="clear" w:color="auto" w:fill="FEFD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BF8" w:themeFill="accent3" w:themeFillTint="33"/>
      </w:tcPr>
    </w:tblStylePr>
    <w:tblStylePr w:type="band1Vert">
      <w:tblPr/>
      <w:tcPr>
        <w:shd w:val="clear" w:color="auto" w:fill="FAF5EE" w:themeFill="accent3" w:themeFillTint="7F"/>
      </w:tcPr>
    </w:tblStylePr>
    <w:tblStylePr w:type="band1Horz">
      <w:tblPr/>
      <w:tcPr>
        <w:tcBorders>
          <w:insideH w:val="single" w:sz="6" w:space="0" w:color="F5EDDE" w:themeColor="accent3"/>
          <w:insideV w:val="single" w:sz="6" w:space="0" w:color="F5EDDE" w:themeColor="accent3"/>
        </w:tcBorders>
        <w:shd w:val="clear" w:color="auto" w:fill="FAF5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insideH w:val="single" w:sz="8" w:space="0" w:color="BE4E0E" w:themeColor="accent4"/>
        <w:insideV w:val="single" w:sz="8" w:space="0" w:color="BE4E0E" w:themeColor="accent4"/>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ECE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8C5" w:themeFill="accent4" w:themeFillTint="33"/>
      </w:tcPr>
    </w:tblStylePr>
    <w:tblStylePr w:type="band1Vert">
      <w:tblPr/>
      <w:tcPr>
        <w:shd w:val="clear" w:color="auto" w:fill="F4A070" w:themeFill="accent4" w:themeFillTint="7F"/>
      </w:tcPr>
    </w:tblStylePr>
    <w:tblStylePr w:type="band1Horz">
      <w:tblPr/>
      <w:tcPr>
        <w:tcBorders>
          <w:insideH w:val="single" w:sz="6" w:space="0" w:color="BE4E0E" w:themeColor="accent4"/>
          <w:insideV w:val="single" w:sz="6" w:space="0" w:color="BE4E0E" w:themeColor="accent4"/>
        </w:tcBorders>
        <w:shd w:val="clear" w:color="auto" w:fill="F4A07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insideH w:val="single" w:sz="8" w:space="0" w:color="CB7352" w:themeColor="accent5"/>
        <w:insideV w:val="single" w:sz="8" w:space="0" w:color="CB7352" w:themeColor="accent5"/>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rPr>
      <w:tblPr/>
      <w:tcPr>
        <w:shd w:val="clear" w:color="auto" w:fill="F9F1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2DC" w:themeFill="accent5" w:themeFillTint="33"/>
      </w:tcPr>
    </w:tblStylePr>
    <w:tblStylePr w:type="band1Vert">
      <w:tblPr/>
      <w:tcPr>
        <w:shd w:val="clear" w:color="auto" w:fill="E5B8A8" w:themeFill="accent5" w:themeFillTint="7F"/>
      </w:tcPr>
    </w:tblStylePr>
    <w:tblStylePr w:type="band1Horz">
      <w:tblPr/>
      <w:tcPr>
        <w:tcBorders>
          <w:insideH w:val="single" w:sz="6" w:space="0" w:color="CB7352" w:themeColor="accent5"/>
          <w:insideV w:val="single" w:sz="6" w:space="0" w:color="CB7352" w:themeColor="accent5"/>
        </w:tcBorders>
        <w:shd w:val="clear" w:color="auto" w:fill="E5B8A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insideH w:val="single" w:sz="8" w:space="0" w:color="F2DCD4" w:themeColor="accent6"/>
        <w:insideV w:val="single" w:sz="8" w:space="0" w:color="F2DCD4" w:themeColor="accent6"/>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rPr>
      <w:tblPr/>
      <w:tcPr>
        <w:shd w:val="clear" w:color="auto" w:fill="FDFB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7F6" w:themeFill="accent6" w:themeFillTint="33"/>
      </w:tcPr>
    </w:tblStylePr>
    <w:tblStylePr w:type="band1Vert">
      <w:tblPr/>
      <w:tcPr>
        <w:shd w:val="clear" w:color="auto" w:fill="F8EDE9" w:themeFill="accent6" w:themeFillTint="7F"/>
      </w:tcPr>
    </w:tblStylePr>
    <w:tblStylePr w:type="band1Horz">
      <w:tblPr/>
      <w:tcPr>
        <w:tcBorders>
          <w:insideH w:val="single" w:sz="6" w:space="0" w:color="F2DCD4" w:themeColor="accent6"/>
          <w:insideV w:val="single" w:sz="6" w:space="0" w:color="F2DCD4" w:themeColor="accent6"/>
        </w:tcBorders>
        <w:shd w:val="clear" w:color="auto" w:fill="F8ED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830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830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830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830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C87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C870" w:themeFill="accent1" w:themeFillTint="7F"/>
      </w:tcPr>
    </w:tblStylePr>
  </w:style>
  <w:style w:type="table" w:styleId="MediumGrid3-Accent2">
    <w:name w:val="Medium Grid 3 Accent 2"/>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C18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C18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C18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C18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DFC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DFC3" w:themeFill="accent2" w:themeFillTint="7F"/>
      </w:tcPr>
    </w:tblStylePr>
  </w:style>
  <w:style w:type="table" w:styleId="MediumGrid3-Accent3">
    <w:name w:val="Medium Grid 3 Accent 3"/>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EDD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EDD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EDD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EDD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5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5EE" w:themeFill="accent3" w:themeFillTint="7F"/>
      </w:tcPr>
    </w:tblStylePr>
  </w:style>
  <w:style w:type="table" w:styleId="MediumGrid3-Accent4">
    <w:name w:val="Medium Grid 3 Accent 4"/>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4E0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4E0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4E0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4E0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A07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A070" w:themeFill="accent4" w:themeFillTint="7F"/>
      </w:tcPr>
    </w:tblStylePr>
  </w:style>
  <w:style w:type="table" w:styleId="MediumGrid3-Accent5">
    <w:name w:val="Medium Grid 3 Accent 5"/>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B735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B735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B735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B735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B8A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B8A8" w:themeFill="accent5" w:themeFillTint="7F"/>
      </w:tcPr>
    </w:tblStylePr>
  </w:style>
  <w:style w:type="table" w:styleId="MediumGrid3-Accent6">
    <w:name w:val="Medium Grid 3 Accent 6"/>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DCD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DCD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DCD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DCD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ED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EDE9" w:themeFill="accent6" w:themeFillTint="7F"/>
      </w:tcPr>
    </w:tblStylePr>
  </w:style>
  <w:style w:type="table" w:styleId="MediumList1">
    <w:name w:val="Medium List 1"/>
    <w:basedOn w:val="TableNormal"/>
    <w:uiPriority w:val="65"/>
    <w:rsid w:val="00F90398"/>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90398"/>
    <w:rPr>
      <w:rFonts w:eastAsia="MS Mincho"/>
      <w:color w:val="000000" w:themeColor="text1"/>
      <w:lang w:val="en-GB" w:eastAsia="en-GB"/>
    </w:rPr>
    <w:tblPr>
      <w:tblStyleRowBandSize w:val="1"/>
      <w:tblStyleColBandSize w:val="1"/>
      <w:tblBorders>
        <w:top w:val="single" w:sz="8" w:space="0" w:color="BE830E" w:themeColor="accent1"/>
        <w:bottom w:val="single" w:sz="8" w:space="0" w:color="BE830E"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E830E" w:themeColor="accent1"/>
        </w:tcBorders>
      </w:tcPr>
    </w:tblStylePr>
    <w:tblStylePr w:type="lastRow">
      <w:rPr>
        <w:b/>
        <w:bCs/>
        <w:color w:val="000000" w:themeColor="text2"/>
      </w:rPr>
      <w:tblPr/>
      <w:tcPr>
        <w:tcBorders>
          <w:top w:val="single" w:sz="8" w:space="0" w:color="BE830E" w:themeColor="accent1"/>
          <w:bottom w:val="single" w:sz="8" w:space="0" w:color="BE830E" w:themeColor="accent1"/>
        </w:tcBorders>
      </w:tcPr>
    </w:tblStylePr>
    <w:tblStylePr w:type="firstCol">
      <w:rPr>
        <w:b/>
        <w:bCs/>
      </w:rPr>
    </w:tblStylePr>
    <w:tblStylePr w:type="lastCol">
      <w:rPr>
        <w:b/>
        <w:bCs/>
      </w:rPr>
      <w:tblPr/>
      <w:tcPr>
        <w:tcBorders>
          <w:top w:val="single" w:sz="8" w:space="0" w:color="BE830E" w:themeColor="accent1"/>
          <w:bottom w:val="single" w:sz="8" w:space="0" w:color="BE830E" w:themeColor="accent1"/>
        </w:tcBorders>
      </w:tcPr>
    </w:tblStylePr>
    <w:tblStylePr w:type="band1Vert">
      <w:tblPr/>
      <w:tcPr>
        <w:shd w:val="clear" w:color="auto" w:fill="F9E3B8" w:themeFill="accent1" w:themeFillTint="3F"/>
      </w:tcPr>
    </w:tblStylePr>
    <w:tblStylePr w:type="band1Horz">
      <w:tblPr/>
      <w:tcPr>
        <w:shd w:val="clear" w:color="auto" w:fill="F9E3B8" w:themeFill="accent1" w:themeFillTint="3F"/>
      </w:tcPr>
    </w:tblStylePr>
  </w:style>
  <w:style w:type="table" w:styleId="MediumList1-Accent2">
    <w:name w:val="Medium List 1 Accent 2"/>
    <w:basedOn w:val="TableNormal"/>
    <w:uiPriority w:val="65"/>
    <w:rsid w:val="00F90398"/>
    <w:rPr>
      <w:rFonts w:eastAsia="MS Mincho"/>
      <w:color w:val="000000" w:themeColor="text1"/>
      <w:lang w:val="en-GB" w:eastAsia="en-GB"/>
    </w:rPr>
    <w:tblPr>
      <w:tblStyleRowBandSize w:val="1"/>
      <w:tblStyleColBandSize w:val="1"/>
      <w:tblBorders>
        <w:top w:val="single" w:sz="8" w:space="0" w:color="DFC187" w:themeColor="accent2"/>
        <w:bottom w:val="single" w:sz="8" w:space="0" w:color="DFC187"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FC187" w:themeColor="accent2"/>
        </w:tcBorders>
      </w:tcPr>
    </w:tblStylePr>
    <w:tblStylePr w:type="lastRow">
      <w:rPr>
        <w:b/>
        <w:bCs/>
        <w:color w:val="000000" w:themeColor="text2"/>
      </w:rPr>
      <w:tblPr/>
      <w:tcPr>
        <w:tcBorders>
          <w:top w:val="single" w:sz="8" w:space="0" w:color="DFC187" w:themeColor="accent2"/>
          <w:bottom w:val="single" w:sz="8" w:space="0" w:color="DFC187" w:themeColor="accent2"/>
        </w:tcBorders>
      </w:tcPr>
    </w:tblStylePr>
    <w:tblStylePr w:type="firstCol">
      <w:rPr>
        <w:b/>
        <w:bCs/>
      </w:rPr>
    </w:tblStylePr>
    <w:tblStylePr w:type="lastCol">
      <w:rPr>
        <w:b/>
        <w:bCs/>
      </w:rPr>
      <w:tblPr/>
      <w:tcPr>
        <w:tcBorders>
          <w:top w:val="single" w:sz="8" w:space="0" w:color="DFC187" w:themeColor="accent2"/>
          <w:bottom w:val="single" w:sz="8" w:space="0" w:color="DFC187" w:themeColor="accent2"/>
        </w:tcBorders>
      </w:tcPr>
    </w:tblStylePr>
    <w:tblStylePr w:type="band1Vert">
      <w:tblPr/>
      <w:tcPr>
        <w:shd w:val="clear" w:color="auto" w:fill="F7EFE1" w:themeFill="accent2" w:themeFillTint="3F"/>
      </w:tcPr>
    </w:tblStylePr>
    <w:tblStylePr w:type="band1Horz">
      <w:tblPr/>
      <w:tcPr>
        <w:shd w:val="clear" w:color="auto" w:fill="F7EFE1" w:themeFill="accent2" w:themeFillTint="3F"/>
      </w:tcPr>
    </w:tblStylePr>
  </w:style>
  <w:style w:type="table" w:styleId="MediumList1-Accent3">
    <w:name w:val="Medium List 1 Accent 3"/>
    <w:basedOn w:val="TableNormal"/>
    <w:uiPriority w:val="65"/>
    <w:rsid w:val="00F90398"/>
    <w:rPr>
      <w:rFonts w:eastAsia="MS Mincho"/>
      <w:color w:val="000000" w:themeColor="text1"/>
      <w:lang w:val="en-GB" w:eastAsia="en-GB"/>
    </w:rPr>
    <w:tblPr>
      <w:tblStyleRowBandSize w:val="1"/>
      <w:tblStyleColBandSize w:val="1"/>
      <w:tblBorders>
        <w:top w:val="single" w:sz="8" w:space="0" w:color="F5EDDE" w:themeColor="accent3"/>
        <w:bottom w:val="single" w:sz="8" w:space="0" w:color="F5EDDE"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5EDDE" w:themeColor="accent3"/>
        </w:tcBorders>
      </w:tcPr>
    </w:tblStylePr>
    <w:tblStylePr w:type="lastRow">
      <w:rPr>
        <w:b/>
        <w:bCs/>
        <w:color w:val="000000" w:themeColor="text2"/>
      </w:rPr>
      <w:tblPr/>
      <w:tcPr>
        <w:tcBorders>
          <w:top w:val="single" w:sz="8" w:space="0" w:color="F5EDDE" w:themeColor="accent3"/>
          <w:bottom w:val="single" w:sz="8" w:space="0" w:color="F5EDDE" w:themeColor="accent3"/>
        </w:tcBorders>
      </w:tcPr>
    </w:tblStylePr>
    <w:tblStylePr w:type="firstCol">
      <w:rPr>
        <w:b/>
        <w:bCs/>
      </w:rPr>
    </w:tblStylePr>
    <w:tblStylePr w:type="lastCol">
      <w:rPr>
        <w:b/>
        <w:bCs/>
      </w:rPr>
      <w:tblPr/>
      <w:tcPr>
        <w:tcBorders>
          <w:top w:val="single" w:sz="8" w:space="0" w:color="F5EDDE" w:themeColor="accent3"/>
          <w:bottom w:val="single" w:sz="8" w:space="0" w:color="F5EDDE" w:themeColor="accent3"/>
        </w:tcBorders>
      </w:tcPr>
    </w:tblStylePr>
    <w:tblStylePr w:type="band1Vert">
      <w:tblPr/>
      <w:tcPr>
        <w:shd w:val="clear" w:color="auto" w:fill="FCFAF6" w:themeFill="accent3" w:themeFillTint="3F"/>
      </w:tcPr>
    </w:tblStylePr>
    <w:tblStylePr w:type="band1Horz">
      <w:tblPr/>
      <w:tcPr>
        <w:shd w:val="clear" w:color="auto" w:fill="FCFAF6" w:themeFill="accent3" w:themeFillTint="3F"/>
      </w:tcPr>
    </w:tblStylePr>
  </w:style>
  <w:style w:type="table" w:styleId="MediumList1-Accent4">
    <w:name w:val="Medium List 1 Accent 4"/>
    <w:basedOn w:val="TableNormal"/>
    <w:uiPriority w:val="65"/>
    <w:rsid w:val="00F90398"/>
    <w:rPr>
      <w:rFonts w:eastAsia="MS Mincho"/>
      <w:color w:val="000000" w:themeColor="text1"/>
      <w:lang w:val="en-GB" w:eastAsia="en-GB"/>
    </w:rPr>
    <w:tblPr>
      <w:tblStyleRowBandSize w:val="1"/>
      <w:tblStyleColBandSize w:val="1"/>
      <w:tblBorders>
        <w:top w:val="single" w:sz="8" w:space="0" w:color="BE4E0E" w:themeColor="accent4"/>
        <w:bottom w:val="single" w:sz="8" w:space="0" w:color="BE4E0E"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E4E0E" w:themeColor="accent4"/>
        </w:tcBorders>
      </w:tcPr>
    </w:tblStylePr>
    <w:tblStylePr w:type="lastRow">
      <w:rPr>
        <w:b/>
        <w:bCs/>
        <w:color w:val="000000" w:themeColor="text2"/>
      </w:rPr>
      <w:tblPr/>
      <w:tcPr>
        <w:tcBorders>
          <w:top w:val="single" w:sz="8" w:space="0" w:color="BE4E0E" w:themeColor="accent4"/>
          <w:bottom w:val="single" w:sz="8" w:space="0" w:color="BE4E0E" w:themeColor="accent4"/>
        </w:tcBorders>
      </w:tcPr>
    </w:tblStylePr>
    <w:tblStylePr w:type="firstCol">
      <w:rPr>
        <w:b/>
        <w:bCs/>
      </w:rPr>
    </w:tblStylePr>
    <w:tblStylePr w:type="lastCol">
      <w:rPr>
        <w:b/>
        <w:bCs/>
      </w:rPr>
      <w:tblPr/>
      <w:tcPr>
        <w:tcBorders>
          <w:top w:val="single" w:sz="8" w:space="0" w:color="BE4E0E" w:themeColor="accent4"/>
          <w:bottom w:val="single" w:sz="8" w:space="0" w:color="BE4E0E" w:themeColor="accent4"/>
        </w:tcBorders>
      </w:tcPr>
    </w:tblStylePr>
    <w:tblStylePr w:type="band1Vert">
      <w:tblPr/>
      <w:tcPr>
        <w:shd w:val="clear" w:color="auto" w:fill="F9D0B8" w:themeFill="accent4" w:themeFillTint="3F"/>
      </w:tcPr>
    </w:tblStylePr>
    <w:tblStylePr w:type="band1Horz">
      <w:tblPr/>
      <w:tcPr>
        <w:shd w:val="clear" w:color="auto" w:fill="F9D0B8" w:themeFill="accent4" w:themeFillTint="3F"/>
      </w:tcPr>
    </w:tblStylePr>
  </w:style>
  <w:style w:type="table" w:styleId="MediumList1-Accent5">
    <w:name w:val="Medium List 1 Accent 5"/>
    <w:basedOn w:val="TableNormal"/>
    <w:uiPriority w:val="65"/>
    <w:rsid w:val="00F90398"/>
    <w:rPr>
      <w:rFonts w:eastAsia="MS Mincho"/>
      <w:color w:val="000000" w:themeColor="text1"/>
      <w:lang w:val="en-GB" w:eastAsia="en-GB"/>
    </w:rPr>
    <w:tblPr>
      <w:tblStyleRowBandSize w:val="1"/>
      <w:tblStyleColBandSize w:val="1"/>
      <w:tblBorders>
        <w:top w:val="single" w:sz="8" w:space="0" w:color="CB7352" w:themeColor="accent5"/>
        <w:bottom w:val="single" w:sz="8" w:space="0" w:color="CB7352"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B7352" w:themeColor="accent5"/>
        </w:tcBorders>
      </w:tcPr>
    </w:tblStylePr>
    <w:tblStylePr w:type="lastRow">
      <w:rPr>
        <w:b/>
        <w:bCs/>
        <w:color w:val="000000" w:themeColor="text2"/>
      </w:rPr>
      <w:tblPr/>
      <w:tcPr>
        <w:tcBorders>
          <w:top w:val="single" w:sz="8" w:space="0" w:color="CB7352" w:themeColor="accent5"/>
          <w:bottom w:val="single" w:sz="8" w:space="0" w:color="CB7352" w:themeColor="accent5"/>
        </w:tcBorders>
      </w:tcPr>
    </w:tblStylePr>
    <w:tblStylePr w:type="firstCol">
      <w:rPr>
        <w:b/>
        <w:bCs/>
      </w:rPr>
    </w:tblStylePr>
    <w:tblStylePr w:type="lastCol">
      <w:rPr>
        <w:b/>
        <w:bCs/>
      </w:rPr>
      <w:tblPr/>
      <w:tcPr>
        <w:tcBorders>
          <w:top w:val="single" w:sz="8" w:space="0" w:color="CB7352" w:themeColor="accent5"/>
          <w:bottom w:val="single" w:sz="8" w:space="0" w:color="CB7352" w:themeColor="accent5"/>
        </w:tcBorders>
      </w:tcPr>
    </w:tblStylePr>
    <w:tblStylePr w:type="band1Vert">
      <w:tblPr/>
      <w:tcPr>
        <w:shd w:val="clear" w:color="auto" w:fill="F2DCD4" w:themeFill="accent5" w:themeFillTint="3F"/>
      </w:tcPr>
    </w:tblStylePr>
    <w:tblStylePr w:type="band1Horz">
      <w:tblPr/>
      <w:tcPr>
        <w:shd w:val="clear" w:color="auto" w:fill="F2DCD4" w:themeFill="accent5" w:themeFillTint="3F"/>
      </w:tcPr>
    </w:tblStylePr>
  </w:style>
  <w:style w:type="table" w:styleId="MediumList1-Accent6">
    <w:name w:val="Medium List 1 Accent 6"/>
    <w:basedOn w:val="TableNormal"/>
    <w:uiPriority w:val="65"/>
    <w:rsid w:val="00F90398"/>
    <w:rPr>
      <w:rFonts w:eastAsia="MS Mincho"/>
      <w:color w:val="000000" w:themeColor="text1"/>
      <w:lang w:val="en-GB" w:eastAsia="en-GB"/>
    </w:rPr>
    <w:tblPr>
      <w:tblStyleRowBandSize w:val="1"/>
      <w:tblStyleColBandSize w:val="1"/>
      <w:tblBorders>
        <w:top w:val="single" w:sz="8" w:space="0" w:color="F2DCD4" w:themeColor="accent6"/>
        <w:bottom w:val="single" w:sz="8" w:space="0" w:color="F2DCD4"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2DCD4" w:themeColor="accent6"/>
        </w:tcBorders>
      </w:tcPr>
    </w:tblStylePr>
    <w:tblStylePr w:type="lastRow">
      <w:rPr>
        <w:b/>
        <w:bCs/>
        <w:color w:val="000000" w:themeColor="text2"/>
      </w:rPr>
      <w:tblPr/>
      <w:tcPr>
        <w:tcBorders>
          <w:top w:val="single" w:sz="8" w:space="0" w:color="F2DCD4" w:themeColor="accent6"/>
          <w:bottom w:val="single" w:sz="8" w:space="0" w:color="F2DCD4" w:themeColor="accent6"/>
        </w:tcBorders>
      </w:tcPr>
    </w:tblStylePr>
    <w:tblStylePr w:type="firstCol">
      <w:rPr>
        <w:b/>
        <w:bCs/>
      </w:rPr>
    </w:tblStylePr>
    <w:tblStylePr w:type="lastCol">
      <w:rPr>
        <w:b/>
        <w:bCs/>
      </w:rPr>
      <w:tblPr/>
      <w:tcPr>
        <w:tcBorders>
          <w:top w:val="single" w:sz="8" w:space="0" w:color="F2DCD4" w:themeColor="accent6"/>
          <w:bottom w:val="single" w:sz="8" w:space="0" w:color="F2DCD4" w:themeColor="accent6"/>
        </w:tcBorders>
      </w:tcPr>
    </w:tblStylePr>
    <w:tblStylePr w:type="band1Vert">
      <w:tblPr/>
      <w:tcPr>
        <w:shd w:val="clear" w:color="auto" w:fill="FBF6F4" w:themeFill="accent6" w:themeFillTint="3F"/>
      </w:tcPr>
    </w:tblStylePr>
    <w:tblStylePr w:type="band1Horz">
      <w:tblPr/>
      <w:tcPr>
        <w:shd w:val="clear" w:color="auto" w:fill="FBF6F4" w:themeFill="accent6" w:themeFillTint="3F"/>
      </w:tcPr>
    </w:tblStylePr>
  </w:style>
  <w:style w:type="table" w:styleId="MediumList2">
    <w:name w:val="Medium List 2"/>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E830E" w:themeColor="accent1"/>
          <w:right w:val="nil"/>
          <w:insideH w:val="nil"/>
          <w:insideV w:val="nil"/>
        </w:tcBorders>
        <w:shd w:val="clear" w:color="auto" w:fill="FFFFFF" w:themeFill="background1"/>
      </w:tcPr>
    </w:tblStylePr>
    <w:tblStylePr w:type="lastRow">
      <w:tblPr/>
      <w:tcPr>
        <w:tcBorders>
          <w:top w:val="single" w:sz="8" w:space="0" w:color="BE830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830E" w:themeColor="accent1"/>
          <w:insideH w:val="nil"/>
          <w:insideV w:val="nil"/>
        </w:tcBorders>
        <w:shd w:val="clear" w:color="auto" w:fill="FFFFFF" w:themeFill="background1"/>
      </w:tcPr>
    </w:tblStylePr>
    <w:tblStylePr w:type="lastCol">
      <w:tblPr/>
      <w:tcPr>
        <w:tcBorders>
          <w:top w:val="nil"/>
          <w:left w:val="single" w:sz="8" w:space="0" w:color="BE830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3B8" w:themeFill="accent1" w:themeFillTint="3F"/>
      </w:tcPr>
    </w:tblStylePr>
    <w:tblStylePr w:type="band1Horz">
      <w:tblPr/>
      <w:tcPr>
        <w:tcBorders>
          <w:top w:val="nil"/>
          <w:bottom w:val="nil"/>
          <w:insideH w:val="nil"/>
          <w:insideV w:val="nil"/>
        </w:tcBorders>
        <w:shd w:val="clear" w:color="auto" w:fill="F9E3B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tblPr/>
      <w:tcPr>
        <w:tcBorders>
          <w:top w:val="single" w:sz="8" w:space="0" w:color="DFC18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C187" w:themeColor="accent2"/>
          <w:insideH w:val="nil"/>
          <w:insideV w:val="nil"/>
        </w:tcBorders>
        <w:shd w:val="clear" w:color="auto" w:fill="FFFFFF" w:themeFill="background1"/>
      </w:tcPr>
    </w:tblStylePr>
    <w:tblStylePr w:type="lastCol">
      <w:tblPr/>
      <w:tcPr>
        <w:tcBorders>
          <w:top w:val="nil"/>
          <w:left w:val="single" w:sz="8" w:space="0" w:color="DFC18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FE1" w:themeFill="accent2" w:themeFillTint="3F"/>
      </w:tcPr>
    </w:tblStylePr>
    <w:tblStylePr w:type="band1Horz">
      <w:tblPr/>
      <w:tcPr>
        <w:tcBorders>
          <w:top w:val="nil"/>
          <w:bottom w:val="nil"/>
          <w:insideH w:val="nil"/>
          <w:insideV w:val="nil"/>
        </w:tcBorders>
        <w:shd w:val="clear" w:color="auto" w:fill="F7EF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5EDDE" w:themeColor="accent3"/>
          <w:right w:val="nil"/>
          <w:insideH w:val="nil"/>
          <w:insideV w:val="nil"/>
        </w:tcBorders>
        <w:shd w:val="clear" w:color="auto" w:fill="FFFFFF" w:themeFill="background1"/>
      </w:tcPr>
    </w:tblStylePr>
    <w:tblStylePr w:type="lastRow">
      <w:tblPr/>
      <w:tcPr>
        <w:tcBorders>
          <w:top w:val="single" w:sz="8" w:space="0" w:color="F5EDD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EDDE" w:themeColor="accent3"/>
          <w:insideH w:val="nil"/>
          <w:insideV w:val="nil"/>
        </w:tcBorders>
        <w:shd w:val="clear" w:color="auto" w:fill="FFFFFF" w:themeFill="background1"/>
      </w:tcPr>
    </w:tblStylePr>
    <w:tblStylePr w:type="lastCol">
      <w:tblPr/>
      <w:tcPr>
        <w:tcBorders>
          <w:top w:val="nil"/>
          <w:left w:val="single" w:sz="8" w:space="0" w:color="F5EDD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top w:val="nil"/>
          <w:bottom w:val="nil"/>
          <w:insideH w:val="nil"/>
          <w:insideV w:val="nil"/>
        </w:tcBorders>
        <w:shd w:val="clear" w:color="auto" w:fill="FCFA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E4E0E" w:themeColor="accent4"/>
          <w:right w:val="nil"/>
          <w:insideH w:val="nil"/>
          <w:insideV w:val="nil"/>
        </w:tcBorders>
        <w:shd w:val="clear" w:color="auto" w:fill="FFFFFF" w:themeFill="background1"/>
      </w:tcPr>
    </w:tblStylePr>
    <w:tblStylePr w:type="lastRow">
      <w:tblPr/>
      <w:tcPr>
        <w:tcBorders>
          <w:top w:val="single" w:sz="8" w:space="0" w:color="BE4E0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4E0E" w:themeColor="accent4"/>
          <w:insideH w:val="nil"/>
          <w:insideV w:val="nil"/>
        </w:tcBorders>
        <w:shd w:val="clear" w:color="auto" w:fill="FFFFFF" w:themeFill="background1"/>
      </w:tcPr>
    </w:tblStylePr>
    <w:tblStylePr w:type="lastCol">
      <w:tblPr/>
      <w:tcPr>
        <w:tcBorders>
          <w:top w:val="nil"/>
          <w:left w:val="single" w:sz="8" w:space="0" w:color="BE4E0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0B8" w:themeFill="accent4" w:themeFillTint="3F"/>
      </w:tcPr>
    </w:tblStylePr>
    <w:tblStylePr w:type="band1Horz">
      <w:tblPr/>
      <w:tcPr>
        <w:tcBorders>
          <w:top w:val="nil"/>
          <w:bottom w:val="nil"/>
          <w:insideH w:val="nil"/>
          <w:insideV w:val="nil"/>
        </w:tcBorders>
        <w:shd w:val="clear" w:color="auto" w:fill="F9D0B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B7352" w:themeColor="accent5"/>
          <w:right w:val="nil"/>
          <w:insideH w:val="nil"/>
          <w:insideV w:val="nil"/>
        </w:tcBorders>
        <w:shd w:val="clear" w:color="auto" w:fill="FFFFFF" w:themeFill="background1"/>
      </w:tcPr>
    </w:tblStylePr>
    <w:tblStylePr w:type="lastRow">
      <w:tblPr/>
      <w:tcPr>
        <w:tcBorders>
          <w:top w:val="single" w:sz="8" w:space="0" w:color="CB735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B7352" w:themeColor="accent5"/>
          <w:insideH w:val="nil"/>
          <w:insideV w:val="nil"/>
        </w:tcBorders>
        <w:shd w:val="clear" w:color="auto" w:fill="FFFFFF" w:themeFill="background1"/>
      </w:tcPr>
    </w:tblStylePr>
    <w:tblStylePr w:type="lastCol">
      <w:tblPr/>
      <w:tcPr>
        <w:tcBorders>
          <w:top w:val="nil"/>
          <w:left w:val="single" w:sz="8" w:space="0" w:color="CB735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CD4" w:themeFill="accent5" w:themeFillTint="3F"/>
      </w:tcPr>
    </w:tblStylePr>
    <w:tblStylePr w:type="band1Horz">
      <w:tblPr/>
      <w:tcPr>
        <w:tcBorders>
          <w:top w:val="nil"/>
          <w:bottom w:val="nil"/>
          <w:insideH w:val="nil"/>
          <w:insideV w:val="nil"/>
        </w:tcBorders>
        <w:shd w:val="clear" w:color="auto" w:fill="F2DC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2DCD4" w:themeColor="accent6"/>
          <w:right w:val="nil"/>
          <w:insideH w:val="nil"/>
          <w:insideV w:val="nil"/>
        </w:tcBorders>
        <w:shd w:val="clear" w:color="auto" w:fill="FFFFFF" w:themeFill="background1"/>
      </w:tcPr>
    </w:tblStylePr>
    <w:tblStylePr w:type="lastRow">
      <w:tblPr/>
      <w:tcPr>
        <w:tcBorders>
          <w:top w:val="single" w:sz="8" w:space="0" w:color="F2DCD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DCD4" w:themeColor="accent6"/>
          <w:insideH w:val="nil"/>
          <w:insideV w:val="nil"/>
        </w:tcBorders>
        <w:shd w:val="clear" w:color="auto" w:fill="FFFFFF" w:themeFill="background1"/>
      </w:tcPr>
    </w:tblStylePr>
    <w:tblStylePr w:type="lastCol">
      <w:tblPr/>
      <w:tcPr>
        <w:tcBorders>
          <w:top w:val="nil"/>
          <w:left w:val="single" w:sz="8" w:space="0" w:color="F2DCD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F4" w:themeFill="accent6" w:themeFillTint="3F"/>
      </w:tcPr>
    </w:tblStylePr>
    <w:tblStylePr w:type="band1Horz">
      <w:tblPr/>
      <w:tcPr>
        <w:tcBorders>
          <w:top w:val="nil"/>
          <w:bottom w:val="nil"/>
          <w:insideH w:val="nil"/>
          <w:insideV w:val="nil"/>
        </w:tcBorders>
        <w:shd w:val="clear" w:color="auto" w:fill="FBF6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90398"/>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90398"/>
    <w:rPr>
      <w:rFonts w:eastAsia="MS Mincho"/>
      <w:lang w:val="en-GB" w:eastAsia="en-GB"/>
    </w:rPr>
    <w:tblPr>
      <w:tblStyleRowBandSize w:val="1"/>
      <w:tblStyleColBandSize w:val="1"/>
      <w:tbl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single" w:sz="8" w:space="0" w:color="EFAC29"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nil"/>
          <w:insideV w:val="nil"/>
        </w:tcBorders>
        <w:shd w:val="clear" w:color="auto" w:fill="BE830E" w:themeFill="accent1"/>
      </w:tcPr>
    </w:tblStylePr>
    <w:tblStylePr w:type="lastRow">
      <w:pPr>
        <w:spacing w:before="0" w:after="0" w:line="240" w:lineRule="auto"/>
      </w:pPr>
      <w:rPr>
        <w:b/>
        <w:bCs/>
      </w:rPr>
      <w:tblPr/>
      <w:tcPr>
        <w:tcBorders>
          <w:top w:val="double" w:sz="6"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9E3B8" w:themeFill="accent1" w:themeFillTint="3F"/>
      </w:tcPr>
    </w:tblStylePr>
    <w:tblStylePr w:type="band1Horz">
      <w:tblPr/>
      <w:tcPr>
        <w:tcBorders>
          <w:insideH w:val="nil"/>
          <w:insideV w:val="nil"/>
        </w:tcBorders>
        <w:shd w:val="clear" w:color="auto" w:fill="F9E3B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90398"/>
    <w:rPr>
      <w:rFonts w:eastAsia="MS Mincho"/>
      <w:lang w:val="en-GB" w:eastAsia="en-GB"/>
    </w:rPr>
    <w:tblPr>
      <w:tblStyleRowBandSize w:val="1"/>
      <w:tblStyleColBandSize w:val="1"/>
      <w:tbl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single" w:sz="8" w:space="0" w:color="E7D0A5"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nil"/>
          <w:insideV w:val="nil"/>
        </w:tcBorders>
        <w:shd w:val="clear" w:color="auto" w:fill="DFC187" w:themeFill="accent2"/>
      </w:tcPr>
    </w:tblStylePr>
    <w:tblStylePr w:type="lastRow">
      <w:pPr>
        <w:spacing w:before="0" w:after="0" w:line="240" w:lineRule="auto"/>
      </w:pPr>
      <w:rPr>
        <w:b/>
        <w:bCs/>
      </w:rPr>
      <w:tblPr/>
      <w:tcPr>
        <w:tcBorders>
          <w:top w:val="double" w:sz="6"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EFE1" w:themeFill="accent2" w:themeFillTint="3F"/>
      </w:tcPr>
    </w:tblStylePr>
    <w:tblStylePr w:type="band1Horz">
      <w:tblPr/>
      <w:tcPr>
        <w:tcBorders>
          <w:insideH w:val="nil"/>
          <w:insideV w:val="nil"/>
        </w:tcBorders>
        <w:shd w:val="clear" w:color="auto" w:fill="F7EFE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90398"/>
    <w:rPr>
      <w:rFonts w:eastAsia="MS Mincho"/>
      <w:lang w:val="en-GB" w:eastAsia="en-GB"/>
    </w:rPr>
    <w:tblPr>
      <w:tblStyleRowBandSize w:val="1"/>
      <w:tblStyleColBandSize w:val="1"/>
      <w:tbl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single" w:sz="8" w:space="0" w:color="F7F1E6"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nil"/>
          <w:insideV w:val="nil"/>
        </w:tcBorders>
        <w:shd w:val="clear" w:color="auto" w:fill="F5EDDE" w:themeFill="accent3"/>
      </w:tcPr>
    </w:tblStylePr>
    <w:tblStylePr w:type="lastRow">
      <w:pPr>
        <w:spacing w:before="0" w:after="0" w:line="240" w:lineRule="auto"/>
      </w:pPr>
      <w:rPr>
        <w:b/>
        <w:bCs/>
      </w:rPr>
      <w:tblPr/>
      <w:tcPr>
        <w:tcBorders>
          <w:top w:val="double" w:sz="6"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AF6" w:themeFill="accent3" w:themeFillTint="3F"/>
      </w:tcPr>
    </w:tblStylePr>
    <w:tblStylePr w:type="band1Horz">
      <w:tblPr/>
      <w:tcPr>
        <w:tcBorders>
          <w:insideH w:val="nil"/>
          <w:insideV w:val="nil"/>
        </w:tcBorders>
        <w:shd w:val="clear" w:color="auto" w:fill="FCFA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90398"/>
    <w:rPr>
      <w:rFonts w:eastAsia="MS Mincho"/>
      <w:lang w:val="en-GB" w:eastAsia="en-GB"/>
    </w:rPr>
    <w:tblPr>
      <w:tblStyleRowBandSize w:val="1"/>
      <w:tblStyleColBandSize w:val="1"/>
      <w:tbl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single" w:sz="8" w:space="0" w:color="EF702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nil"/>
          <w:insideV w:val="nil"/>
        </w:tcBorders>
        <w:shd w:val="clear" w:color="auto" w:fill="BE4E0E" w:themeFill="accent4"/>
      </w:tcPr>
    </w:tblStylePr>
    <w:tblStylePr w:type="lastRow">
      <w:pPr>
        <w:spacing w:before="0" w:after="0" w:line="240" w:lineRule="auto"/>
      </w:pPr>
      <w:rPr>
        <w:b/>
        <w:bCs/>
      </w:rPr>
      <w:tblPr/>
      <w:tcPr>
        <w:tcBorders>
          <w:top w:val="double" w:sz="6"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D0B8" w:themeFill="accent4" w:themeFillTint="3F"/>
      </w:tcPr>
    </w:tblStylePr>
    <w:tblStylePr w:type="band1Horz">
      <w:tblPr/>
      <w:tcPr>
        <w:tcBorders>
          <w:insideH w:val="nil"/>
          <w:insideV w:val="nil"/>
        </w:tcBorders>
        <w:shd w:val="clear" w:color="auto" w:fill="F9D0B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90398"/>
    <w:rPr>
      <w:rFonts w:eastAsia="MS Mincho"/>
      <w:lang w:val="en-GB" w:eastAsia="en-GB"/>
    </w:rPr>
    <w:tblPr>
      <w:tblStyleRowBandSize w:val="1"/>
      <w:tblStyleColBandSize w:val="1"/>
      <w:tbl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single" w:sz="8" w:space="0" w:color="D8957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nil"/>
          <w:insideV w:val="nil"/>
        </w:tcBorders>
        <w:shd w:val="clear" w:color="auto" w:fill="CB7352" w:themeFill="accent5"/>
      </w:tcPr>
    </w:tblStylePr>
    <w:tblStylePr w:type="lastRow">
      <w:pPr>
        <w:spacing w:before="0" w:after="0" w:line="240" w:lineRule="auto"/>
      </w:pPr>
      <w:rPr>
        <w:b/>
        <w:bCs/>
      </w:rPr>
      <w:tblPr/>
      <w:tcPr>
        <w:tcBorders>
          <w:top w:val="double" w:sz="6"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DCD4" w:themeFill="accent5" w:themeFillTint="3F"/>
      </w:tcPr>
    </w:tblStylePr>
    <w:tblStylePr w:type="band1Horz">
      <w:tblPr/>
      <w:tcPr>
        <w:tcBorders>
          <w:insideH w:val="nil"/>
          <w:insideV w:val="nil"/>
        </w:tcBorders>
        <w:shd w:val="clear" w:color="auto" w:fill="F2DC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90398"/>
    <w:rPr>
      <w:rFonts w:eastAsia="MS Mincho"/>
      <w:lang w:val="en-GB" w:eastAsia="en-GB"/>
    </w:rPr>
    <w:tblPr>
      <w:tblStyleRowBandSize w:val="1"/>
      <w:tblStyleColBandSize w:val="1"/>
      <w:tbl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single" w:sz="8" w:space="0" w:color="F5E4DE"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nil"/>
          <w:insideV w:val="nil"/>
        </w:tcBorders>
        <w:shd w:val="clear" w:color="auto" w:fill="F2DCD4" w:themeFill="accent6"/>
      </w:tcPr>
    </w:tblStylePr>
    <w:tblStylePr w:type="lastRow">
      <w:pPr>
        <w:spacing w:before="0" w:after="0" w:line="240" w:lineRule="auto"/>
      </w:pPr>
      <w:rPr>
        <w:b/>
        <w:bCs/>
      </w:rPr>
      <w:tblPr/>
      <w:tcPr>
        <w:tcBorders>
          <w:top w:val="double" w:sz="6"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F4" w:themeFill="accent6" w:themeFillTint="3F"/>
      </w:tcPr>
    </w:tblStylePr>
    <w:tblStylePr w:type="band1Horz">
      <w:tblPr/>
      <w:tcPr>
        <w:tcBorders>
          <w:insideH w:val="nil"/>
          <w:insideV w:val="nil"/>
        </w:tcBorders>
        <w:shd w:val="clear" w:color="auto" w:fill="FBF6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E830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830E" w:themeFill="accent1"/>
      </w:tcPr>
    </w:tblStylePr>
    <w:tblStylePr w:type="lastCol">
      <w:rPr>
        <w:b/>
        <w:bCs/>
        <w:color w:val="FFFFFF" w:themeColor="background1"/>
      </w:rPr>
      <w:tblPr/>
      <w:tcPr>
        <w:tcBorders>
          <w:left w:val="nil"/>
          <w:right w:val="nil"/>
          <w:insideH w:val="nil"/>
          <w:insideV w:val="nil"/>
        </w:tcBorders>
        <w:shd w:val="clear" w:color="auto" w:fill="BE830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FC18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FC187" w:themeFill="accent2"/>
      </w:tcPr>
    </w:tblStylePr>
    <w:tblStylePr w:type="lastCol">
      <w:rPr>
        <w:b/>
        <w:bCs/>
        <w:color w:val="FFFFFF" w:themeColor="background1"/>
      </w:rPr>
      <w:tblPr/>
      <w:tcPr>
        <w:tcBorders>
          <w:left w:val="nil"/>
          <w:right w:val="nil"/>
          <w:insideH w:val="nil"/>
          <w:insideV w:val="nil"/>
        </w:tcBorders>
        <w:shd w:val="clear" w:color="auto" w:fill="DFC18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5EDD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EDDE" w:themeFill="accent3"/>
      </w:tcPr>
    </w:tblStylePr>
    <w:tblStylePr w:type="lastCol">
      <w:rPr>
        <w:b/>
        <w:bCs/>
        <w:color w:val="FFFFFF" w:themeColor="background1"/>
      </w:rPr>
      <w:tblPr/>
      <w:tcPr>
        <w:tcBorders>
          <w:left w:val="nil"/>
          <w:right w:val="nil"/>
          <w:insideH w:val="nil"/>
          <w:insideV w:val="nil"/>
        </w:tcBorders>
        <w:shd w:val="clear" w:color="auto" w:fill="F5EDD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E4E0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4E0E" w:themeFill="accent4"/>
      </w:tcPr>
    </w:tblStylePr>
    <w:tblStylePr w:type="lastCol">
      <w:rPr>
        <w:b/>
        <w:bCs/>
        <w:color w:val="FFFFFF" w:themeColor="background1"/>
      </w:rPr>
      <w:tblPr/>
      <w:tcPr>
        <w:tcBorders>
          <w:left w:val="nil"/>
          <w:right w:val="nil"/>
          <w:insideH w:val="nil"/>
          <w:insideV w:val="nil"/>
        </w:tcBorders>
        <w:shd w:val="clear" w:color="auto" w:fill="BE4E0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B735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B7352" w:themeFill="accent5"/>
      </w:tcPr>
    </w:tblStylePr>
    <w:tblStylePr w:type="lastCol">
      <w:rPr>
        <w:b/>
        <w:bCs/>
        <w:color w:val="FFFFFF" w:themeColor="background1"/>
      </w:rPr>
      <w:tblPr/>
      <w:tcPr>
        <w:tcBorders>
          <w:left w:val="nil"/>
          <w:right w:val="nil"/>
          <w:insideH w:val="nil"/>
          <w:insideV w:val="nil"/>
        </w:tcBorders>
        <w:shd w:val="clear" w:color="auto" w:fill="CB735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2DCD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DCD4" w:themeFill="accent6"/>
      </w:tcPr>
    </w:tblStylePr>
    <w:tblStylePr w:type="lastCol">
      <w:rPr>
        <w:b/>
        <w:bCs/>
        <w:color w:val="FFFFFF" w:themeColor="background1"/>
      </w:rPr>
      <w:tblPr/>
      <w:tcPr>
        <w:tcBorders>
          <w:left w:val="nil"/>
          <w:right w:val="nil"/>
          <w:insideH w:val="nil"/>
          <w:insideV w:val="nil"/>
        </w:tcBorders>
        <w:shd w:val="clear" w:color="auto" w:fill="F2DCD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903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90398"/>
    <w:rPr>
      <w:rFonts w:asciiTheme="majorHAnsi" w:eastAsiaTheme="majorEastAsia" w:hAnsiTheme="majorHAnsi" w:cstheme="majorBidi"/>
      <w:color w:val="000000" w:themeColor="text1"/>
      <w:sz w:val="24"/>
      <w:szCs w:val="20"/>
      <w:shd w:val="pct20" w:color="auto" w:fill="auto"/>
    </w:rPr>
  </w:style>
  <w:style w:type="paragraph" w:styleId="NormalWeb">
    <w:name w:val="Normal (Web)"/>
    <w:basedOn w:val="Normal"/>
    <w:uiPriority w:val="99"/>
    <w:semiHidden/>
    <w:unhideWhenUsed/>
    <w:rsid w:val="00F90398"/>
    <w:rPr>
      <w:rFonts w:ascii="Times New Roman" w:hAnsi="Times New Roman"/>
      <w:sz w:val="24"/>
    </w:rPr>
  </w:style>
  <w:style w:type="paragraph" w:styleId="NoteHeading">
    <w:name w:val="Note Heading"/>
    <w:basedOn w:val="Normal"/>
    <w:next w:val="Normal"/>
    <w:link w:val="NoteHeadingChar"/>
    <w:uiPriority w:val="99"/>
    <w:semiHidden/>
    <w:unhideWhenUsed/>
    <w:rsid w:val="00F90398"/>
  </w:style>
  <w:style w:type="character" w:customStyle="1" w:styleId="NoteHeadingChar">
    <w:name w:val="Note Heading Char"/>
    <w:basedOn w:val="DefaultParagraphFont"/>
    <w:link w:val="NoteHeading"/>
    <w:uiPriority w:val="99"/>
    <w:semiHidden/>
    <w:rsid w:val="00F90398"/>
    <w:rPr>
      <w:color w:val="000000" w:themeColor="text1"/>
      <w:sz w:val="20"/>
      <w:szCs w:val="20"/>
    </w:rPr>
  </w:style>
  <w:style w:type="character" w:styleId="PlaceholderText">
    <w:name w:val="Placeholder Text"/>
    <w:basedOn w:val="DefaultParagraphFont"/>
    <w:uiPriority w:val="99"/>
    <w:rsid w:val="00036E72"/>
    <w:rPr>
      <w:color w:val="auto"/>
    </w:rPr>
  </w:style>
  <w:style w:type="paragraph" w:styleId="PlainText">
    <w:name w:val="Plain Text"/>
    <w:basedOn w:val="Normal"/>
    <w:link w:val="PlainTextChar"/>
    <w:uiPriority w:val="99"/>
    <w:semiHidden/>
    <w:unhideWhenUsed/>
    <w:rsid w:val="00F90398"/>
    <w:rPr>
      <w:rFonts w:ascii="Consolas" w:hAnsi="Consolas" w:cs="Consolas"/>
    </w:rPr>
  </w:style>
  <w:style w:type="character" w:customStyle="1" w:styleId="PlainTextChar">
    <w:name w:val="Plain Text Char"/>
    <w:basedOn w:val="DefaultParagraphFont"/>
    <w:link w:val="PlainText"/>
    <w:uiPriority w:val="99"/>
    <w:semiHidden/>
    <w:rsid w:val="00F90398"/>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F90398"/>
  </w:style>
  <w:style w:type="character" w:customStyle="1" w:styleId="SalutationChar">
    <w:name w:val="Salutation Char"/>
    <w:basedOn w:val="DefaultParagraphFont"/>
    <w:link w:val="Salutation"/>
    <w:uiPriority w:val="99"/>
    <w:semiHidden/>
    <w:rsid w:val="00F90398"/>
    <w:rPr>
      <w:color w:val="000000" w:themeColor="text1"/>
      <w:sz w:val="20"/>
      <w:szCs w:val="20"/>
    </w:rPr>
  </w:style>
  <w:style w:type="paragraph" w:styleId="Signature">
    <w:name w:val="Signature"/>
    <w:basedOn w:val="Normal"/>
    <w:link w:val="SignatureChar"/>
    <w:uiPriority w:val="99"/>
    <w:semiHidden/>
    <w:unhideWhenUsed/>
    <w:rsid w:val="00F90398"/>
    <w:pPr>
      <w:ind w:left="4252"/>
    </w:pPr>
  </w:style>
  <w:style w:type="character" w:customStyle="1" w:styleId="SignatureChar">
    <w:name w:val="Signature Char"/>
    <w:basedOn w:val="DefaultParagraphFont"/>
    <w:link w:val="Signature"/>
    <w:uiPriority w:val="99"/>
    <w:semiHidden/>
    <w:rsid w:val="00F90398"/>
    <w:rPr>
      <w:color w:val="000000" w:themeColor="text1"/>
      <w:sz w:val="20"/>
      <w:szCs w:val="20"/>
    </w:rPr>
  </w:style>
  <w:style w:type="character" w:styleId="Strong">
    <w:name w:val="Strong"/>
    <w:basedOn w:val="DefaultParagraphFont"/>
    <w:uiPriority w:val="22"/>
    <w:qFormat/>
    <w:rsid w:val="00C53999"/>
    <w:rPr>
      <w:b/>
      <w:bCs/>
    </w:rPr>
  </w:style>
  <w:style w:type="character" w:styleId="SubtleEmphasis">
    <w:name w:val="Subtle Emphasis"/>
    <w:basedOn w:val="DefaultParagraphFont"/>
    <w:uiPriority w:val="19"/>
    <w:qFormat/>
    <w:rsid w:val="00C53999"/>
    <w:rPr>
      <w:i/>
      <w:iCs/>
      <w:color w:val="595959" w:themeColor="text1" w:themeTint="A6"/>
    </w:rPr>
  </w:style>
  <w:style w:type="character" w:styleId="SubtleReference">
    <w:name w:val="Subtle Reference"/>
    <w:basedOn w:val="DefaultParagraphFont"/>
    <w:uiPriority w:val="31"/>
    <w:qFormat/>
    <w:rsid w:val="00C53999"/>
    <w:rPr>
      <w:smallCaps/>
      <w:color w:val="404040" w:themeColor="text1" w:themeTint="BF"/>
    </w:rPr>
  </w:style>
  <w:style w:type="table" w:styleId="Table3Deffects1">
    <w:name w:val="Table 3D effects 1"/>
    <w:basedOn w:val="TableNormal"/>
    <w:uiPriority w:val="99"/>
    <w:semiHidden/>
    <w:unhideWhenUsed/>
    <w:rsid w:val="00F90398"/>
    <w:pPr>
      <w:adjustRightInd w:val="0"/>
      <w:snapToGrid w:val="0"/>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0398"/>
    <w:pPr>
      <w:adjustRightInd w:val="0"/>
      <w:snapToGrid w:val="0"/>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0398"/>
    <w:pPr>
      <w:adjustRightInd w:val="0"/>
      <w:snapToGrid w:val="0"/>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0398"/>
    <w:pPr>
      <w:adjustRightInd w:val="0"/>
      <w:snapToGrid w:val="0"/>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0398"/>
    <w:pPr>
      <w:adjustRightInd w:val="0"/>
      <w:snapToGrid w:val="0"/>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0398"/>
    <w:pPr>
      <w:adjustRightInd w:val="0"/>
      <w:snapToGrid w:val="0"/>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0398"/>
    <w:pPr>
      <w:adjustRightInd w:val="0"/>
      <w:snapToGrid w:val="0"/>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0398"/>
    <w:pPr>
      <w:adjustRightInd w:val="0"/>
      <w:snapToGrid w:val="0"/>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0398"/>
    <w:pPr>
      <w:adjustRightInd w:val="0"/>
      <w:snapToGrid w:val="0"/>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0398"/>
    <w:pPr>
      <w:adjustRightInd w:val="0"/>
      <w:snapToGrid w:val="0"/>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0398"/>
    <w:pPr>
      <w:adjustRightInd w:val="0"/>
      <w:snapToGrid w:val="0"/>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0398"/>
    <w:pPr>
      <w:adjustRightInd w:val="0"/>
      <w:snapToGrid w:val="0"/>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0398"/>
    <w:pPr>
      <w:adjustRightInd w:val="0"/>
      <w:snapToGrid w:val="0"/>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0398"/>
    <w:pPr>
      <w:adjustRightInd w:val="0"/>
      <w:snapToGrid w:val="0"/>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0398"/>
    <w:pPr>
      <w:adjustRightInd w:val="0"/>
      <w:snapToGrid w:val="0"/>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0398"/>
    <w:pPr>
      <w:adjustRightInd w:val="0"/>
      <w:snapToGrid w:val="0"/>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0398"/>
    <w:pPr>
      <w:adjustRightInd w:val="0"/>
      <w:snapToGrid w:val="0"/>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0398"/>
    <w:pPr>
      <w:adjustRightInd w:val="0"/>
      <w:snapToGrid w:val="0"/>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0398"/>
    <w:pPr>
      <w:adjustRightInd w:val="0"/>
      <w:snapToGrid w:val="0"/>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0398"/>
    <w:pPr>
      <w:adjustRightInd w:val="0"/>
      <w:snapToGrid w:val="0"/>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0398"/>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0398"/>
    <w:pPr>
      <w:adjustRightInd w:val="0"/>
      <w:snapToGrid w:val="0"/>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0398"/>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90398"/>
    <w:pPr>
      <w:ind w:left="220" w:hanging="220"/>
    </w:pPr>
  </w:style>
  <w:style w:type="table" w:styleId="TableProfessional">
    <w:name w:val="Table Professional"/>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0398"/>
    <w:pPr>
      <w:adjustRightInd w:val="0"/>
      <w:snapToGrid w:val="0"/>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0398"/>
    <w:pPr>
      <w:adjustRightInd w:val="0"/>
      <w:snapToGrid w:val="0"/>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0398"/>
    <w:pPr>
      <w:adjustRightInd w:val="0"/>
      <w:snapToGrid w:val="0"/>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0398"/>
    <w:pPr>
      <w:adjustRightInd w:val="0"/>
      <w:snapToGrid w:val="0"/>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0398"/>
    <w:pPr>
      <w:adjustRightInd w:val="0"/>
      <w:snapToGrid w:val="0"/>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F90398"/>
    <w:pPr>
      <w:adjustRightInd w:val="0"/>
      <w:snapToGrid w:val="0"/>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0398"/>
    <w:pPr>
      <w:adjustRightInd w:val="0"/>
      <w:snapToGrid w:val="0"/>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0398"/>
    <w:pPr>
      <w:adjustRightInd w:val="0"/>
      <w:snapToGrid w:val="0"/>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90398"/>
    <w:rPr>
      <w:rFonts w:asciiTheme="majorHAnsi" w:eastAsiaTheme="majorEastAsia" w:hAnsiTheme="majorHAnsi" w:cstheme="majorBidi"/>
      <w:b/>
      <w:bCs/>
      <w:sz w:val="24"/>
    </w:rPr>
  </w:style>
  <w:style w:type="paragraph" w:styleId="TOC3">
    <w:name w:val="toc 3"/>
    <w:basedOn w:val="Normal"/>
    <w:next w:val="Normal"/>
    <w:uiPriority w:val="39"/>
    <w:rsid w:val="00F1041D"/>
    <w:pPr>
      <w:tabs>
        <w:tab w:val="left" w:pos="1928"/>
        <w:tab w:val="right" w:leader="dot" w:pos="9639"/>
      </w:tabs>
      <w:ind w:left="1928" w:hanging="794"/>
    </w:pPr>
  </w:style>
  <w:style w:type="paragraph" w:styleId="TOC4">
    <w:name w:val="toc 4"/>
    <w:basedOn w:val="Normal"/>
    <w:next w:val="Normal"/>
    <w:autoRedefine/>
    <w:uiPriority w:val="39"/>
    <w:semiHidden/>
    <w:rsid w:val="00A265C5"/>
    <w:pPr>
      <w:tabs>
        <w:tab w:val="right" w:leader="dot" w:pos="9979"/>
      </w:tabs>
      <w:spacing w:after="100"/>
      <w:ind w:left="660"/>
    </w:pPr>
  </w:style>
  <w:style w:type="paragraph" w:styleId="TOC5">
    <w:name w:val="toc 5"/>
    <w:basedOn w:val="Normal"/>
    <w:next w:val="Normal"/>
    <w:autoRedefine/>
    <w:uiPriority w:val="39"/>
    <w:semiHidden/>
    <w:rsid w:val="00A265C5"/>
    <w:pPr>
      <w:tabs>
        <w:tab w:val="right" w:leader="dot" w:pos="9979"/>
      </w:tabs>
      <w:spacing w:after="100"/>
      <w:ind w:left="880"/>
    </w:pPr>
  </w:style>
  <w:style w:type="paragraph" w:styleId="TOC6">
    <w:name w:val="toc 6"/>
    <w:basedOn w:val="Normal"/>
    <w:next w:val="Normal"/>
    <w:autoRedefine/>
    <w:uiPriority w:val="39"/>
    <w:semiHidden/>
    <w:rsid w:val="00F90398"/>
    <w:pPr>
      <w:spacing w:after="100"/>
      <w:ind w:left="1100"/>
    </w:pPr>
  </w:style>
  <w:style w:type="paragraph" w:styleId="TOC7">
    <w:name w:val="toc 7"/>
    <w:basedOn w:val="Normal"/>
    <w:next w:val="Normal"/>
    <w:autoRedefine/>
    <w:uiPriority w:val="39"/>
    <w:semiHidden/>
    <w:rsid w:val="00F90398"/>
    <w:pPr>
      <w:spacing w:after="100"/>
      <w:ind w:left="1320"/>
    </w:pPr>
  </w:style>
  <w:style w:type="paragraph" w:styleId="TOC8">
    <w:name w:val="toc 8"/>
    <w:basedOn w:val="Normal"/>
    <w:next w:val="Normal"/>
    <w:autoRedefine/>
    <w:uiPriority w:val="39"/>
    <w:semiHidden/>
    <w:unhideWhenUsed/>
    <w:rsid w:val="00F90398"/>
    <w:pPr>
      <w:spacing w:after="100"/>
      <w:ind w:left="1540"/>
    </w:pPr>
  </w:style>
  <w:style w:type="paragraph" w:styleId="TOC9">
    <w:name w:val="toc 9"/>
    <w:basedOn w:val="Normal"/>
    <w:next w:val="Normal"/>
    <w:autoRedefine/>
    <w:uiPriority w:val="39"/>
    <w:semiHidden/>
    <w:unhideWhenUsed/>
    <w:rsid w:val="00F90398"/>
    <w:pPr>
      <w:spacing w:after="100"/>
      <w:ind w:left="1760"/>
    </w:pPr>
  </w:style>
  <w:style w:type="paragraph" w:styleId="TOCHeading">
    <w:name w:val="TOC Heading"/>
    <w:basedOn w:val="Heading1"/>
    <w:next w:val="Normal"/>
    <w:uiPriority w:val="39"/>
    <w:unhideWhenUsed/>
    <w:qFormat/>
    <w:rsid w:val="00EF55F9"/>
  </w:style>
  <w:style w:type="table" w:styleId="TableGridLight">
    <w:name w:val="Grid Table Light"/>
    <w:basedOn w:val="TableNormal"/>
    <w:uiPriority w:val="40"/>
    <w:rsid w:val="00F903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semiHidden/>
    <w:rsid w:val="00C53999"/>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53999"/>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53999"/>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53999"/>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53999"/>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53999"/>
    <w:rPr>
      <w:rFonts w:asciiTheme="majorHAnsi" w:eastAsiaTheme="majorEastAsia" w:hAnsiTheme="majorHAnsi" w:cstheme="majorBidi"/>
      <w:i/>
      <w:iCs/>
      <w:smallCaps/>
      <w:color w:val="595959" w:themeColor="text1" w:themeTint="A6"/>
    </w:rPr>
  </w:style>
  <w:style w:type="paragraph" w:styleId="NormalIndent">
    <w:name w:val="Normal Indent"/>
    <w:basedOn w:val="Normal"/>
    <w:uiPriority w:val="99"/>
    <w:semiHidden/>
    <w:unhideWhenUsed/>
    <w:rsid w:val="00F90398"/>
    <w:pPr>
      <w:ind w:left="720"/>
    </w:pPr>
  </w:style>
  <w:style w:type="paragraph" w:styleId="ListContinue">
    <w:name w:val="List Continue"/>
    <w:basedOn w:val="Normal"/>
    <w:uiPriority w:val="99"/>
    <w:semiHidden/>
    <w:unhideWhenUsed/>
    <w:rsid w:val="00F90398"/>
    <w:pPr>
      <w:ind w:left="283"/>
      <w:contextualSpacing/>
    </w:pPr>
  </w:style>
  <w:style w:type="character" w:customStyle="1" w:styleId="Heading1Char">
    <w:name w:val="Heading 1 Char"/>
    <w:basedOn w:val="DefaultParagraphFont"/>
    <w:link w:val="Heading1"/>
    <w:uiPriority w:val="9"/>
    <w:rsid w:val="00B1119B"/>
    <w:rPr>
      <w:rFonts w:asciiTheme="majorHAnsi" w:eastAsiaTheme="majorEastAsia" w:hAnsiTheme="majorHAnsi" w:cstheme="majorBidi"/>
      <w:color w:val="8E610A" w:themeColor="accent1" w:themeShade="BF"/>
      <w:sz w:val="36"/>
      <w:szCs w:val="36"/>
    </w:rPr>
  </w:style>
  <w:style w:type="character" w:customStyle="1" w:styleId="Heading2Char">
    <w:name w:val="Heading 2 Char"/>
    <w:basedOn w:val="DefaultParagraphFont"/>
    <w:link w:val="Heading2"/>
    <w:uiPriority w:val="9"/>
    <w:rsid w:val="00B1119B"/>
    <w:rPr>
      <w:rFonts w:asciiTheme="majorHAnsi" w:eastAsiaTheme="majorEastAsia" w:hAnsiTheme="majorHAnsi" w:cstheme="majorBidi"/>
      <w:color w:val="8E610A" w:themeColor="accent1" w:themeShade="BF"/>
      <w:sz w:val="28"/>
      <w:szCs w:val="28"/>
    </w:rPr>
  </w:style>
  <w:style w:type="character" w:customStyle="1" w:styleId="Heading3Char">
    <w:name w:val="Heading 3 Char"/>
    <w:basedOn w:val="DefaultParagraphFont"/>
    <w:link w:val="Heading3"/>
    <w:uiPriority w:val="9"/>
    <w:rsid w:val="00B1119B"/>
    <w:rPr>
      <w:rFonts w:asciiTheme="majorHAnsi" w:eastAsiaTheme="majorEastAsia" w:hAnsiTheme="majorHAnsi" w:cstheme="majorBidi"/>
      <w:color w:val="404040" w:themeColor="text1" w:themeTint="BF"/>
      <w:sz w:val="26"/>
      <w:szCs w:val="26"/>
    </w:rPr>
  </w:style>
  <w:style w:type="table" w:styleId="PlainTable1">
    <w:name w:val="Plain Table 1"/>
    <w:basedOn w:val="TableNormal"/>
    <w:uiPriority w:val="41"/>
    <w:rsid w:val="00F9039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verSubheading">
    <w:name w:val="Cover Subheading"/>
    <w:next w:val="Normal"/>
    <w:rsid w:val="007D30E5"/>
    <w:pPr>
      <w:spacing w:before="240" w:line="235" w:lineRule="auto"/>
      <w:contextualSpacing/>
    </w:pPr>
    <w:rPr>
      <w:rFonts w:asciiTheme="majorHAnsi" w:hAnsiTheme="majorHAnsi" w:cs="Arial"/>
      <w:sz w:val="50"/>
      <w:szCs w:val="48"/>
    </w:rPr>
  </w:style>
  <w:style w:type="numbering" w:customStyle="1" w:styleId="Bullets">
    <w:name w:val="Bullets"/>
    <w:uiPriority w:val="99"/>
    <w:rsid w:val="0025142E"/>
    <w:pPr>
      <w:numPr>
        <w:numId w:val="11"/>
      </w:numPr>
    </w:pPr>
  </w:style>
  <w:style w:type="table" w:customStyle="1" w:styleId="LayoutGrid">
    <w:name w:val="LayoutGrid"/>
    <w:basedOn w:val="TableNormal"/>
    <w:uiPriority w:val="99"/>
    <w:rsid w:val="00F90398"/>
    <w:pPr>
      <w:spacing w:line="240" w:lineRule="auto"/>
    </w:pPr>
    <w:tblPr>
      <w:tblCellMar>
        <w:left w:w="0" w:type="dxa"/>
        <w:right w:w="0" w:type="dxa"/>
      </w:tblCellMar>
    </w:tblPr>
  </w:style>
  <w:style w:type="paragraph" w:styleId="ListNumber0">
    <w:name w:val="List Number"/>
    <w:basedOn w:val="Normal"/>
    <w:uiPriority w:val="6"/>
    <w:rsid w:val="00685D8A"/>
    <w:pPr>
      <w:numPr>
        <w:numId w:val="14"/>
      </w:numPr>
    </w:pPr>
  </w:style>
  <w:style w:type="paragraph" w:styleId="ListNumber2">
    <w:name w:val="List Number 2"/>
    <w:basedOn w:val="Normal"/>
    <w:uiPriority w:val="6"/>
    <w:rsid w:val="00685D8A"/>
    <w:pPr>
      <w:numPr>
        <w:ilvl w:val="1"/>
        <w:numId w:val="14"/>
      </w:numPr>
    </w:pPr>
  </w:style>
  <w:style w:type="character" w:customStyle="1" w:styleId="UnresolvedMention1">
    <w:name w:val="Unresolved Mention1"/>
    <w:basedOn w:val="DefaultParagraphFont"/>
    <w:uiPriority w:val="99"/>
    <w:semiHidden/>
    <w:unhideWhenUsed/>
    <w:rsid w:val="00F90398"/>
    <w:rPr>
      <w:color w:val="605E5C"/>
      <w:shd w:val="clear" w:color="auto" w:fill="E1DFDD"/>
    </w:rPr>
  </w:style>
  <w:style w:type="paragraph" w:styleId="Quote">
    <w:name w:val="Quote"/>
    <w:basedOn w:val="Normal"/>
    <w:next w:val="Normal"/>
    <w:link w:val="QuoteChar"/>
    <w:uiPriority w:val="29"/>
    <w:qFormat/>
    <w:rsid w:val="00C53999"/>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C53999"/>
    <w:rPr>
      <w:i/>
      <w:iCs/>
    </w:rPr>
  </w:style>
  <w:style w:type="paragraph" w:customStyle="1" w:styleId="CoverHeading">
    <w:name w:val="Cover Heading"/>
    <w:basedOn w:val="Normal"/>
    <w:next w:val="Normal"/>
    <w:rsid w:val="00846C71"/>
    <w:pPr>
      <w:spacing w:line="235" w:lineRule="auto"/>
    </w:pPr>
    <w:rPr>
      <w:rFonts w:asciiTheme="majorHAnsi" w:hAnsiTheme="majorHAnsi"/>
      <w:kern w:val="10"/>
      <w:sz w:val="142"/>
    </w:rPr>
  </w:style>
  <w:style w:type="paragraph" w:customStyle="1" w:styleId="CoverDetails">
    <w:name w:val="Cover Details"/>
    <w:basedOn w:val="Normal"/>
    <w:next w:val="Normal"/>
    <w:uiPriority w:val="1"/>
    <w:rsid w:val="0088458C"/>
    <w:pPr>
      <w:spacing w:line="280" w:lineRule="atLeast"/>
    </w:pPr>
    <w:rPr>
      <w:sz w:val="28"/>
    </w:rPr>
  </w:style>
  <w:style w:type="paragraph" w:customStyle="1" w:styleId="TableText">
    <w:name w:val="Table Text"/>
    <w:basedOn w:val="Normal"/>
    <w:uiPriority w:val="8"/>
    <w:rsid w:val="00CD5F59"/>
    <w:pPr>
      <w:spacing w:before="40" w:after="40"/>
    </w:pPr>
  </w:style>
  <w:style w:type="paragraph" w:customStyle="1" w:styleId="TableHeading">
    <w:name w:val="Table Heading"/>
    <w:basedOn w:val="Normal"/>
    <w:uiPriority w:val="8"/>
    <w:rsid w:val="00F1041D"/>
    <w:pPr>
      <w:spacing w:before="40" w:after="40"/>
    </w:pPr>
    <w:rPr>
      <w:rFonts w:ascii="Public Sans SemiBold" w:hAnsi="Public Sans SemiBold"/>
    </w:rPr>
  </w:style>
  <w:style w:type="character" w:styleId="UnresolvedMention">
    <w:name w:val="Unresolved Mention"/>
    <w:basedOn w:val="DefaultParagraphFont"/>
    <w:uiPriority w:val="99"/>
    <w:semiHidden/>
    <w:unhideWhenUsed/>
    <w:rsid w:val="00F90398"/>
    <w:rPr>
      <w:color w:val="605E5C"/>
      <w:shd w:val="clear" w:color="auto" w:fill="E1DFDD"/>
    </w:rPr>
  </w:style>
  <w:style w:type="numbering" w:customStyle="1" w:styleId="AppendixList">
    <w:name w:val="AppendixList"/>
    <w:uiPriority w:val="99"/>
    <w:rsid w:val="00043B5C"/>
    <w:pPr>
      <w:numPr>
        <w:numId w:val="7"/>
      </w:numPr>
    </w:pPr>
  </w:style>
  <w:style w:type="numbering" w:customStyle="1" w:styleId="NumberedList">
    <w:name w:val="NumberedList"/>
    <w:uiPriority w:val="99"/>
    <w:rsid w:val="00C82B60"/>
    <w:pPr>
      <w:numPr>
        <w:numId w:val="6"/>
      </w:numPr>
    </w:pPr>
  </w:style>
  <w:style w:type="paragraph" w:styleId="TOC2">
    <w:name w:val="toc 2"/>
    <w:basedOn w:val="Normal"/>
    <w:next w:val="Normal"/>
    <w:uiPriority w:val="39"/>
    <w:rsid w:val="00F1041D"/>
    <w:pPr>
      <w:tabs>
        <w:tab w:val="left" w:pos="1134"/>
        <w:tab w:val="right" w:leader="dot" w:pos="9639"/>
      </w:tabs>
      <w:ind w:left="1134" w:hanging="567"/>
    </w:pPr>
    <w:rPr>
      <w:noProof/>
    </w:rPr>
  </w:style>
  <w:style w:type="table" w:customStyle="1" w:styleId="TableANU">
    <w:name w:val="Table_ANU"/>
    <w:basedOn w:val="TableNormal"/>
    <w:uiPriority w:val="99"/>
    <w:rsid w:val="00DA4283"/>
    <w:pPr>
      <w:spacing w:line="240" w:lineRule="auto"/>
    </w:pPr>
    <w:tblPr>
      <w:tblBorders>
        <w:top w:val="single" w:sz="4" w:space="0" w:color="E2E3E4"/>
        <w:bottom w:val="single" w:sz="4" w:space="0" w:color="E2E3E4"/>
        <w:insideH w:val="single" w:sz="4" w:space="0" w:color="E2E3E4"/>
      </w:tblBorders>
      <w:tblCellMar>
        <w:left w:w="57" w:type="dxa"/>
        <w:right w:w="57" w:type="dxa"/>
      </w:tblCellMar>
    </w:tblPr>
    <w:tblStylePr w:type="firstRow">
      <w:rPr>
        <w:b w:val="0"/>
        <w:i w:val="0"/>
        <w:caps w:val="0"/>
        <w:smallCaps w:val="0"/>
        <w:color w:val="F5EDDE" w:themeColor="accent3"/>
        <w:sz w:val="20"/>
      </w:rPr>
      <w:tblPr/>
      <w:trPr>
        <w:tblHeader/>
      </w:trPr>
      <w:tcPr>
        <w:tcBorders>
          <w:top w:val="nil"/>
          <w:left w:val="nil"/>
          <w:bottom w:val="single" w:sz="4" w:space="0" w:color="000000" w:themeColor="text2"/>
          <w:right w:val="nil"/>
          <w:insideH w:val="nil"/>
          <w:insideV w:val="nil"/>
          <w:tl2br w:val="nil"/>
          <w:tr2bl w:val="nil"/>
        </w:tcBorders>
      </w:tcPr>
    </w:tblStylePr>
    <w:tblStylePr w:type="lastRow">
      <w:rPr>
        <w:rFonts w:ascii="Public Sans SemiBold" w:hAnsi="Public Sans SemiBold"/>
        <w:b w:val="0"/>
        <w:i w:val="0"/>
        <w:caps w:val="0"/>
        <w:smallCaps w:val="0"/>
        <w:sz w:val="24"/>
      </w:rPr>
      <w:tblPr/>
      <w:tcPr>
        <w:tcBorders>
          <w:top w:val="single" w:sz="4" w:space="0" w:color="000000" w:themeColor="text2"/>
          <w:left w:val="nil"/>
          <w:bottom w:val="nil"/>
          <w:right w:val="nil"/>
          <w:insideH w:val="nil"/>
          <w:insideV w:val="nil"/>
          <w:tl2br w:val="nil"/>
          <w:tr2bl w:val="nil"/>
        </w:tcBorders>
      </w:tcPr>
    </w:tblStylePr>
  </w:style>
  <w:style w:type="numbering" w:customStyle="1" w:styleId="ListNumber">
    <w:name w:val="ListNumber"/>
    <w:uiPriority w:val="99"/>
    <w:rsid w:val="00685D8A"/>
    <w:pPr>
      <w:numPr>
        <w:numId w:val="13"/>
      </w:numPr>
    </w:pPr>
  </w:style>
  <w:style w:type="paragraph" w:styleId="TableofFigures">
    <w:name w:val="table of figures"/>
    <w:basedOn w:val="Normal"/>
    <w:next w:val="Normal"/>
    <w:uiPriority w:val="99"/>
    <w:semiHidden/>
    <w:rsid w:val="00781EB4"/>
    <w:pPr>
      <w:pBdr>
        <w:bottom w:val="single" w:sz="4" w:space="1" w:color="BE830E" w:themeColor="accent1"/>
        <w:between w:val="single" w:sz="4" w:space="1" w:color="BE830E" w:themeColor="accent1"/>
      </w:pBdr>
      <w:tabs>
        <w:tab w:val="right" w:pos="10319"/>
      </w:tabs>
    </w:pPr>
  </w:style>
  <w:style w:type="table" w:styleId="PlainTable4">
    <w:name w:val="Plain Table 4"/>
    <w:basedOn w:val="TableNormal"/>
    <w:uiPriority w:val="44"/>
    <w:rsid w:val="004B40D1"/>
    <w:pPr>
      <w:spacing w:line="240" w:lineRule="auto"/>
    </w:pPr>
    <w:rPr>
      <w:rFonts w:ascii="Calibri" w:eastAsia="Calibri" w:hAnsi="Calibri"/>
      <w:sz w:val="20"/>
      <w:szCs w:val="20"/>
      <w:lang w:eastAsia="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C53999"/>
    <w:pPr>
      <w:spacing w:after="0" w:line="240" w:lineRule="auto"/>
    </w:pPr>
  </w:style>
  <w:style w:type="paragraph" w:customStyle="1" w:styleId="FooterDisclaimer">
    <w:name w:val="Footer Disclaimer"/>
    <w:basedOn w:val="Footer"/>
    <w:uiPriority w:val="99"/>
    <w:rsid w:val="004435EC"/>
    <w:pPr>
      <w:spacing w:line="240" w:lineRule="auto"/>
    </w:pPr>
    <w:rPr>
      <w:color w:val="000000" w:themeColor="text1"/>
      <w:sz w:val="14"/>
    </w:rPr>
  </w:style>
  <w:style w:type="paragraph" w:customStyle="1" w:styleId="TableBullet">
    <w:name w:val="Table Bullet"/>
    <w:basedOn w:val="TableText"/>
    <w:uiPriority w:val="8"/>
    <w:rsid w:val="00CF47A0"/>
    <w:pPr>
      <w:numPr>
        <w:numId w:val="26"/>
      </w:numPr>
      <w:ind w:left="227" w:hanging="227"/>
    </w:pPr>
  </w:style>
  <w:style w:type="paragraph" w:styleId="FootnoteText">
    <w:name w:val="footnote text"/>
    <w:basedOn w:val="Normal"/>
    <w:link w:val="FootnoteTextChar"/>
    <w:uiPriority w:val="99"/>
    <w:semiHidden/>
    <w:unhideWhenUsed/>
    <w:rsid w:val="00ED2177"/>
    <w:rPr>
      <w:rFonts w:eastAsiaTheme="minorHAnsi"/>
      <w:kern w:val="2"/>
      <w:sz w:val="20"/>
      <w14:ligatures w14:val="standardContextual"/>
    </w:rPr>
  </w:style>
  <w:style w:type="character" w:customStyle="1" w:styleId="FootnoteTextChar">
    <w:name w:val="Footnote Text Char"/>
    <w:basedOn w:val="DefaultParagraphFont"/>
    <w:link w:val="FootnoteText"/>
    <w:uiPriority w:val="99"/>
    <w:semiHidden/>
    <w:rsid w:val="00ED2177"/>
    <w:rPr>
      <w:rFonts w:eastAsiaTheme="minorHAnsi" w:cstheme="minorBidi"/>
      <w:color w:val="auto"/>
      <w:kern w:val="2"/>
      <w:sz w:val="20"/>
      <w:szCs w:val="20"/>
      <w14:ligatures w14:val="standardContextual"/>
    </w:rPr>
  </w:style>
  <w:style w:type="character" w:styleId="FootnoteReference">
    <w:name w:val="footnote reference"/>
    <w:basedOn w:val="DefaultParagraphFont"/>
    <w:uiPriority w:val="99"/>
    <w:semiHidden/>
    <w:unhideWhenUsed/>
    <w:rsid w:val="00ED2177"/>
    <w:rPr>
      <w:vertAlign w:val="superscript"/>
    </w:rPr>
  </w:style>
  <w:style w:type="table" w:styleId="PlainTable2">
    <w:name w:val="Plain Table 2"/>
    <w:basedOn w:val="TableNormal"/>
    <w:uiPriority w:val="42"/>
    <w:rsid w:val="006F70AF"/>
    <w:pPr>
      <w:spacing w:line="240" w:lineRule="auto"/>
    </w:pPr>
    <w:rPr>
      <w:rFonts w:eastAsiaTheme="minorHAns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C172E0"/>
    <w:pPr>
      <w:spacing w:line="240" w:lineRule="auto"/>
    </w:pPr>
    <w:rPr>
      <w:rFonts w:eastAsiaTheme="minorHAnsi"/>
      <w:kern w:val="2"/>
      <w:sz w:val="24"/>
      <w:szCs w:val="24"/>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cPr>
      <w:shd w:val="clear" w:color="auto" w:fill="F2F2F2" w:themeFill="background1" w:themeFillShade="F2"/>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paragraph" w:customStyle="1" w:styleId="Style1">
    <w:name w:val="Style1"/>
    <w:basedOn w:val="Heading1"/>
    <w:link w:val="Style1Char"/>
    <w:rsid w:val="00966E94"/>
    <w:pPr>
      <w:spacing w:after="80" w:line="278" w:lineRule="auto"/>
    </w:pPr>
    <w:rPr>
      <w:bCs/>
      <w:iCs/>
      <w:color w:val="3366FF"/>
      <w:kern w:val="2"/>
      <w:sz w:val="40"/>
      <w:szCs w:val="40"/>
      <w14:ligatures w14:val="standardContextual"/>
    </w:rPr>
  </w:style>
  <w:style w:type="character" w:customStyle="1" w:styleId="Style1Char">
    <w:name w:val="Style1 Char"/>
    <w:basedOn w:val="Heading1Char"/>
    <w:link w:val="Style1"/>
    <w:rsid w:val="00966E94"/>
    <w:rPr>
      <w:rFonts w:asciiTheme="majorHAnsi" w:eastAsiaTheme="majorEastAsia" w:hAnsiTheme="majorHAnsi" w:cstheme="majorBidi"/>
      <w:bCs/>
      <w:iCs/>
      <w:color w:val="3366FF"/>
      <w:kern w:val="2"/>
      <w:sz w:val="40"/>
      <w:szCs w:val="40"/>
      <w14:ligatures w14:val="standardContextual"/>
    </w:rPr>
  </w:style>
  <w:style w:type="table" w:styleId="PlainTable5">
    <w:name w:val="Plain Table 5"/>
    <w:basedOn w:val="TableNormal"/>
    <w:uiPriority w:val="45"/>
    <w:rsid w:val="00966E94"/>
    <w:pPr>
      <w:spacing w:line="240" w:lineRule="auto"/>
    </w:pPr>
    <w:rPr>
      <w:rFonts w:eastAsiaTheme="minorHAnsi"/>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unhideWhenUsed/>
    <w:rsid w:val="00AA6FB6"/>
    <w:rPr>
      <w:color w:val="2B579A"/>
      <w:shd w:val="clear" w:color="auto" w:fill="E1DFDD"/>
    </w:rPr>
  </w:style>
  <w:style w:type="paragraph" w:styleId="Title">
    <w:name w:val="Title"/>
    <w:basedOn w:val="Normal"/>
    <w:next w:val="Normal"/>
    <w:link w:val="TitleChar"/>
    <w:uiPriority w:val="10"/>
    <w:qFormat/>
    <w:rsid w:val="00C53999"/>
    <w:pPr>
      <w:spacing w:after="0" w:line="240" w:lineRule="auto"/>
      <w:contextualSpacing/>
    </w:pPr>
    <w:rPr>
      <w:rFonts w:asciiTheme="majorHAnsi" w:eastAsiaTheme="majorEastAsia" w:hAnsiTheme="majorHAnsi" w:cstheme="majorBidi"/>
      <w:color w:val="8E610A" w:themeColor="accent1" w:themeShade="BF"/>
      <w:spacing w:val="-7"/>
      <w:sz w:val="80"/>
      <w:szCs w:val="80"/>
    </w:rPr>
  </w:style>
  <w:style w:type="character" w:customStyle="1" w:styleId="TitleChar">
    <w:name w:val="Title Char"/>
    <w:basedOn w:val="DefaultParagraphFont"/>
    <w:link w:val="Title"/>
    <w:uiPriority w:val="10"/>
    <w:rsid w:val="00C53999"/>
    <w:rPr>
      <w:rFonts w:asciiTheme="majorHAnsi" w:eastAsiaTheme="majorEastAsia" w:hAnsiTheme="majorHAnsi" w:cstheme="majorBidi"/>
      <w:color w:val="8E610A" w:themeColor="accent1" w:themeShade="BF"/>
      <w:spacing w:val="-7"/>
      <w:sz w:val="80"/>
      <w:szCs w:val="80"/>
    </w:rPr>
  </w:style>
  <w:style w:type="paragraph" w:customStyle="1" w:styleId="Hyperlink1">
    <w:name w:val="Hyperlink1"/>
    <w:basedOn w:val="Normal"/>
    <w:link w:val="hyperlinkChar"/>
    <w:qFormat/>
    <w:rsid w:val="00A336C3"/>
    <w:pPr>
      <w:spacing w:after="0"/>
      <w:ind w:left="720" w:hanging="720"/>
    </w:pPr>
    <w:rPr>
      <w:color w:val="5F4107" w:themeColor="accent1" w:themeShade="80"/>
      <w:sz w:val="18"/>
    </w:rPr>
  </w:style>
  <w:style w:type="character" w:customStyle="1" w:styleId="hyperlinkChar">
    <w:name w:val="hyperlink Char"/>
    <w:basedOn w:val="DefaultParagraphFont"/>
    <w:link w:val="Hyperlink1"/>
    <w:rsid w:val="00A336C3"/>
    <w:rPr>
      <w:color w:val="5F4107" w:themeColor="accent1" w:themeShade="80"/>
      <w:sz w:val="18"/>
    </w:rPr>
  </w:style>
  <w:style w:type="paragraph" w:styleId="Revision">
    <w:name w:val="Revision"/>
    <w:hidden/>
    <w:uiPriority w:val="99"/>
    <w:semiHidden/>
    <w:rsid w:val="00861035"/>
    <w:pPr>
      <w:spacing w:after="0" w:line="240" w:lineRule="auto"/>
    </w:pPr>
  </w:style>
  <w:style w:type="character" w:styleId="FollowedHyperlink">
    <w:name w:val="FollowedHyperlink"/>
    <w:basedOn w:val="DefaultParagraphFont"/>
    <w:semiHidden/>
    <w:unhideWhenUsed/>
    <w:rsid w:val="0055337C"/>
    <w:rPr>
      <w:color w:val="BE4E0E" w:themeColor="followedHyperlink"/>
      <w:u w:val="single"/>
    </w:rPr>
  </w:style>
  <w:style w:type="paragraph" w:customStyle="1" w:styleId="cite-detail">
    <w:name w:val="cite-detail"/>
    <w:basedOn w:val="Normal"/>
    <w:rsid w:val="009C3C8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ource">
    <w:name w:val="Source"/>
    <w:basedOn w:val="Normal"/>
    <w:link w:val="SourceChar"/>
    <w:qFormat/>
    <w:rsid w:val="001A446B"/>
    <w:rPr>
      <w:sz w:val="18"/>
      <w:szCs w:val="19"/>
    </w:rPr>
  </w:style>
  <w:style w:type="character" w:customStyle="1" w:styleId="SourceChar">
    <w:name w:val="Source Char"/>
    <w:basedOn w:val="DefaultParagraphFont"/>
    <w:link w:val="Source"/>
    <w:rsid w:val="001A446B"/>
    <w:rPr>
      <w:sz w:val="18"/>
      <w:szCs w:val="19"/>
    </w:rPr>
  </w:style>
  <w:style w:type="paragraph" w:customStyle="1" w:styleId="indent">
    <w:name w:val="indent"/>
    <w:basedOn w:val="Normal"/>
    <w:link w:val="indentChar"/>
    <w:qFormat/>
    <w:rsid w:val="003D64F0"/>
    <w:pPr>
      <w:spacing w:before="100" w:after="200" w:line="276" w:lineRule="auto"/>
      <w:ind w:left="709"/>
    </w:pPr>
    <w:rPr>
      <w:rFonts w:eastAsia="Calibri" w:cs="Times New Roman"/>
      <w:i/>
      <w:iCs/>
      <w:sz w:val="20"/>
      <w:szCs w:val="20"/>
    </w:rPr>
  </w:style>
  <w:style w:type="character" w:customStyle="1" w:styleId="indentChar">
    <w:name w:val="indent Char"/>
    <w:basedOn w:val="DefaultParagraphFont"/>
    <w:link w:val="indent"/>
    <w:rsid w:val="003D64F0"/>
    <w:rPr>
      <w:rFonts w:eastAsia="Calibri" w:cs="Times New Roman"/>
      <w:i/>
      <w:iCs/>
      <w:sz w:val="20"/>
      <w:szCs w:val="20"/>
    </w:rPr>
  </w:style>
  <w:style w:type="paragraph" w:customStyle="1" w:styleId="OutlineNumbered1">
    <w:name w:val="Outline Numbered 1"/>
    <w:basedOn w:val="Normal"/>
    <w:link w:val="OutlineNumbered1Char"/>
    <w:rsid w:val="001A446B"/>
    <w:pPr>
      <w:numPr>
        <w:numId w:val="40"/>
      </w:numPr>
    </w:pPr>
    <w:rPr>
      <w:sz w:val="18"/>
      <w:szCs w:val="19"/>
    </w:rPr>
  </w:style>
  <w:style w:type="character" w:customStyle="1" w:styleId="OutlineNumbered1Char">
    <w:name w:val="Outline Numbered 1 Char"/>
    <w:basedOn w:val="SourceChar"/>
    <w:link w:val="OutlineNumbered1"/>
    <w:rsid w:val="001A446B"/>
    <w:rPr>
      <w:sz w:val="18"/>
      <w:szCs w:val="19"/>
    </w:rPr>
  </w:style>
  <w:style w:type="paragraph" w:customStyle="1" w:styleId="OutlineNumbered2">
    <w:name w:val="Outline Numbered 2"/>
    <w:basedOn w:val="Normal"/>
    <w:link w:val="OutlineNumbered2Char"/>
    <w:rsid w:val="001A446B"/>
    <w:pPr>
      <w:numPr>
        <w:ilvl w:val="1"/>
        <w:numId w:val="40"/>
      </w:numPr>
    </w:pPr>
    <w:rPr>
      <w:sz w:val="18"/>
      <w:szCs w:val="19"/>
    </w:rPr>
  </w:style>
  <w:style w:type="character" w:customStyle="1" w:styleId="OutlineNumbered2Char">
    <w:name w:val="Outline Numbered 2 Char"/>
    <w:basedOn w:val="SourceChar"/>
    <w:link w:val="OutlineNumbered2"/>
    <w:rsid w:val="001A446B"/>
    <w:rPr>
      <w:sz w:val="18"/>
      <w:szCs w:val="19"/>
    </w:rPr>
  </w:style>
  <w:style w:type="paragraph" w:customStyle="1" w:styleId="OutlineNumbered3">
    <w:name w:val="Outline Numbered 3"/>
    <w:basedOn w:val="Normal"/>
    <w:link w:val="OutlineNumbered3Char"/>
    <w:rsid w:val="001A446B"/>
    <w:pPr>
      <w:numPr>
        <w:ilvl w:val="2"/>
        <w:numId w:val="40"/>
      </w:numPr>
    </w:pPr>
    <w:rPr>
      <w:sz w:val="18"/>
      <w:szCs w:val="19"/>
    </w:rPr>
  </w:style>
  <w:style w:type="character" w:customStyle="1" w:styleId="OutlineNumbered3Char">
    <w:name w:val="Outline Numbered 3 Char"/>
    <w:basedOn w:val="SourceChar"/>
    <w:link w:val="OutlineNumbered3"/>
    <w:rsid w:val="001A446B"/>
    <w:rPr>
      <w:sz w:val="18"/>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20365">
      <w:bodyDiv w:val="1"/>
      <w:marLeft w:val="0"/>
      <w:marRight w:val="0"/>
      <w:marTop w:val="0"/>
      <w:marBottom w:val="0"/>
      <w:divBdr>
        <w:top w:val="none" w:sz="0" w:space="0" w:color="auto"/>
        <w:left w:val="none" w:sz="0" w:space="0" w:color="auto"/>
        <w:bottom w:val="none" w:sz="0" w:space="0" w:color="auto"/>
        <w:right w:val="none" w:sz="0" w:space="0" w:color="auto"/>
      </w:divBdr>
    </w:div>
    <w:div w:id="794567337">
      <w:bodyDiv w:val="1"/>
      <w:marLeft w:val="0"/>
      <w:marRight w:val="0"/>
      <w:marTop w:val="0"/>
      <w:marBottom w:val="0"/>
      <w:divBdr>
        <w:top w:val="none" w:sz="0" w:space="0" w:color="auto"/>
        <w:left w:val="none" w:sz="0" w:space="0" w:color="auto"/>
        <w:bottom w:val="none" w:sz="0" w:space="0" w:color="auto"/>
        <w:right w:val="none" w:sz="0" w:space="0" w:color="auto"/>
      </w:divBdr>
    </w:div>
    <w:div w:id="197251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emf"/><Relationship Id="rId26" Type="http://schemas.openxmlformats.org/officeDocument/2006/relationships/image" Target="media/image14.svg"/><Relationship Id="rId3" Type="http://schemas.openxmlformats.org/officeDocument/2006/relationships/settings" Target="settings.xml"/><Relationship Id="rId21" Type="http://schemas.openxmlformats.org/officeDocument/2006/relationships/image" Target="media/image9.emf"/><Relationship Id="rId34" Type="http://schemas.openxmlformats.org/officeDocument/2006/relationships/fontTable" Target="fontTable.xml"/><Relationship Id="rId7" Type="http://schemas.openxmlformats.org/officeDocument/2006/relationships/hyperlink" Target="https://creativecommons.org/licenses/by/4.0/" TargetMode="External"/><Relationship Id="rId12" Type="http://schemas.openxmlformats.org/officeDocument/2006/relationships/header" Target="header2.xml"/><Relationship Id="rId17" Type="http://schemas.openxmlformats.org/officeDocument/2006/relationships/image" Target="media/image5.emf"/><Relationship Id="rId25" Type="http://schemas.openxmlformats.org/officeDocument/2006/relationships/image" Target="media/image13.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8.svg"/><Relationship Id="rId29" Type="http://schemas.openxmlformats.org/officeDocument/2006/relationships/image" Target="media/image1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2.svg"/><Relationship Id="rId32"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image" Target="media/image16.svg"/><Relationship Id="rId10" Type="http://schemas.openxmlformats.org/officeDocument/2006/relationships/hyperlink" Target="https://creativecommons.org/licenses/by/4.0/" TargetMode="Externa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hyperlink" Target="https://creativecommons.org/licenses/by/4.0/legalcod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ANU">
  <a:themeElements>
    <a:clrScheme name="ANU_Colours">
      <a:dk1>
        <a:sysClr val="windowText" lastClr="000000"/>
      </a:dk1>
      <a:lt1>
        <a:sysClr val="window" lastClr="FFFFFF"/>
      </a:lt1>
      <a:dk2>
        <a:srgbClr val="000000"/>
      </a:dk2>
      <a:lt2>
        <a:srgbClr val="FFFFFF"/>
      </a:lt2>
      <a:accent1>
        <a:srgbClr val="BE830E"/>
      </a:accent1>
      <a:accent2>
        <a:srgbClr val="DFC187"/>
      </a:accent2>
      <a:accent3>
        <a:srgbClr val="F5EDDE"/>
      </a:accent3>
      <a:accent4>
        <a:srgbClr val="BE4E0E"/>
      </a:accent4>
      <a:accent5>
        <a:srgbClr val="CB7352"/>
      </a:accent5>
      <a:accent6>
        <a:srgbClr val="F2DCD4"/>
      </a:accent6>
      <a:hlink>
        <a:srgbClr val="BE830E"/>
      </a:hlink>
      <a:folHlink>
        <a:srgbClr val="BE4E0E"/>
      </a:folHlink>
    </a:clrScheme>
    <a:fontScheme name="ANU_Fonts">
      <a:majorFont>
        <a:latin typeface="Public Sans"/>
        <a:ea typeface=""/>
        <a:cs typeface=""/>
      </a:majorFont>
      <a:minorFont>
        <a:latin typeface="Public Sans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NU Light" id="{D6110B67-1046-5445-B2D7-264C31C5A8B7}" vid="{3BC23ECF-AE84-C44D-AD25-3250A919A451}"/>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6916</Words>
  <Characters>37490</Characters>
  <Application>Microsoft Office Word</Application>
  <DocSecurity>0</DocSecurity>
  <Lines>871</Lines>
  <Paragraphs>498</Paragraphs>
  <ScaleCrop>false</ScaleCrop>
  <HeadingPairs>
    <vt:vector size="2" baseType="variant">
      <vt:variant>
        <vt:lpstr>Title</vt:lpstr>
      </vt:variant>
      <vt:variant>
        <vt:i4>1</vt:i4>
      </vt:variant>
    </vt:vector>
  </HeadingPairs>
  <TitlesOfParts>
    <vt:vector size="1" baseType="lpstr">
      <vt:lpstr>Past trends and potential futures – projecting Australian fertility – Supplementary report</vt:lpstr>
    </vt:vector>
  </TitlesOfParts>
  <Company/>
  <LinksUpToDate>false</LinksUpToDate>
  <CharactersWithSpaces>43908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Past trends and potential futures – projecting Australian fertility – Supplementary report</dc:title>
  <dc:subject/>
  <dc:creator>Australian National University</dc:creator>
  <cp:keywords/>
  <dc:description/>
  <cp:lastModifiedBy/>
  <cp:revision>1</cp:revision>
  <dcterms:created xsi:type="dcterms:W3CDTF">2026-09-21T02:26:00Z</dcterms:created>
  <dcterms:modified xsi:type="dcterms:W3CDTF">2026-09-21T02:26:00Z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2026-09-21T02:26:26Z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56e8e788-d01f-4e60-82e1-4e72362261e4</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